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Pr="004628E3" w:rsidRDefault="00F2498F" w:rsidP="0013004A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1F497D" w:themeColor="text2"/>
          <w:kern w:val="36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1F497D" w:themeColor="text2"/>
          <w:kern w:val="36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VÝPOVĚĎ</w:t>
      </w:r>
      <w:r w:rsidR="0013004A" w:rsidRPr="004628E3">
        <w:rPr>
          <w:rFonts w:ascii="Times New Roman" w:eastAsia="Times New Roman" w:hAnsi="Times New Roman" w:cs="Times New Roman"/>
          <w:b/>
          <w:bCs/>
          <w:caps/>
          <w:color w:val="1F497D" w:themeColor="text2"/>
          <w:kern w:val="36"/>
          <w:sz w:val="32"/>
          <w:szCs w:val="3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smlouvy o stavebním spoření dítěte</w:t>
      </w:r>
    </w:p>
    <w:p w:rsidR="0013004A" w:rsidRPr="004628E3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Smlouvu o stavebním spoření nezletilého lze ukončit výpovědí stejně jako smlouvu </w:t>
      </w:r>
      <w:r w:rsidRPr="00130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dospělého. </w:t>
      </w: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Tady však podobnost končí.</w:t>
      </w:r>
    </w:p>
    <w:p w:rsidR="00F2498F" w:rsidRPr="00F2498F" w:rsidRDefault="00F2498F" w:rsidP="00F249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rightPar_textimage"/>
      <w:bookmarkEnd w:id="0"/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První odlišnost je v tom, že za dítě podává výpověď jeho zákonný zástupce. Druhý rozdíl tkví v tom, že </w:t>
      </w:r>
      <w:r w:rsidRPr="00F24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výpověď smlouvy o stavebním spoření musí rozsudkem schválit opatrovnický soud. </w:t>
      </w:r>
    </w:p>
    <w:p w:rsidR="0013004A" w:rsidRPr="004628E3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Jak začít?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F24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ejprve</w:t>
      </w: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nutné podat výpověď smlouvy o stavebním spoření, a to na příslušném formuláři dané stavební spořitelny. Výpověď za nezletilého podepisuje jeho zákonný zástupce, tedy nejčastěji rodiče. </w:t>
      </w:r>
    </w:p>
    <w:p w:rsidR="0013004A" w:rsidRPr="004628E3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Podání žádosti u soudu</w:t>
      </w:r>
    </w:p>
    <w:p w:rsidR="0013004A" w:rsidRPr="004628E3" w:rsidRDefault="00F2498F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Dalším krokem je </w:t>
      </w:r>
      <w:r w:rsidRPr="00F24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odeslání „Návrhu na schválení právního jednání učiněného za nezletilého“ příslušnému soudu (podle místa bydliště dítěte). </w:t>
      </w:r>
      <w:r w:rsidR="0013004A"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 se o dokument, v němž soud žádáme o schválení výpovědi podané stavební spořitelně. </w:t>
      </w:r>
      <w:r w:rsidR="0013004A" w:rsidRPr="00130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Žádné soudní poplatky ani kolky se v tomto případě neplatí. 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Postup soudu</w:t>
      </w:r>
    </w:p>
    <w:p w:rsidR="0013004A" w:rsidRP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4A">
        <w:rPr>
          <w:rFonts w:ascii="Times New Roman" w:hAnsi="Times New Roman" w:cs="Times New Roman"/>
          <w:sz w:val="24"/>
          <w:szCs w:val="24"/>
        </w:rPr>
        <w:t xml:space="preserve">Soud na základě tohoto návrhu zahájí řízení a v souladu s občanským zákoníkem dítěti pro zastupování v tomto soudním řízení jmenuje opatrovníka, kterým je ve většině případů orgán sociálně-právní ochrany dětí. 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Postup orgánu sociálně-právní ochrany dětí </w:t>
      </w:r>
    </w:p>
    <w:p w:rsid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Orgán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sociálně-právní ochrany dětí pro dané soudní řízení činí v řízení konkrétní úkony, a to v souladu se zájmy dítěte. Na žádost soudu provádí sociální šetření v domácnosti rodiny, přičemž sociální šetření je zaměřeno na </w:t>
      </w:r>
      <w:r w:rsidR="00F2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zjišťování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stanoviska rodičů, </w:t>
      </w:r>
      <w:r w:rsidR="00F2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jejich sociálních a majetkových poměrů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ověření pověsti rodiny v místě bydliště. Rodiče jsou v mnoha případech překvapeni návštěvou sociální pracovnice, protože se zpravidla jedná o běžně fungující rodiny. Sociální pracovnice orgánu sociálně-právní ochrany dětí však sociální šetření provádí výhradně na žádost soudu, který o návrhu rodičů rozhoduje a rovněž již ze zmíněné pozice opatrovníka dítěte pro konkrétní soudní řízení.  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Po prošetření poměrů rodiny zasílá opatrovník dítěte soudu zprávu o poměrech rodiny a vyjadřuje své stanovisko k právnímu jednání za dítě. Soud je povinen rozhodovat v zájmu dítěte. </w:t>
      </w:r>
    </w:p>
    <w:p w:rsidR="0013004A" w:rsidRP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7030A0"/>
        </w:rPr>
      </w:pPr>
    </w:p>
    <w:p w:rsid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7030A0"/>
        </w:rPr>
      </w:pPr>
    </w:p>
    <w:p w:rsid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7030A0"/>
        </w:rPr>
      </w:pPr>
    </w:p>
    <w:p w:rsidR="0013004A" w:rsidRP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3004A">
        <w:rPr>
          <w:rFonts w:ascii="Times New Roman" w:hAnsi="Times New Roman" w:cs="Times New Roman"/>
          <w:b/>
          <w:color w:val="7030A0"/>
          <w:sz w:val="24"/>
          <w:szCs w:val="24"/>
        </w:rPr>
        <w:t>Výsledek soudu</w:t>
      </w:r>
    </w:p>
    <w:p w:rsidR="0013004A" w:rsidRPr="0013004A" w:rsidRDefault="0013004A" w:rsidP="0013004A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3004A" w:rsidRPr="0013004A" w:rsidRDefault="0013004A" w:rsidP="0013004A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Než soud dospěje ke konečnému verdiktu, nařídí ústní jednání, při němž jsou vyslechnuti oba rodiče, zjišťováno stanovisko opatrovníka, případně dle uvážení soudu také dítěte.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Pokud soud shledá rodiči zamýšlené právní jednání za dítě jednáním, které není v zájmu nezletilého dítěte, návrh rodičů zamítne. </w:t>
      </w: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zamítavého stanoviska soudu, pokračuje smlouva o stavebním spoření dál, jako by k výpovědi nedošlo.</w:t>
      </w:r>
    </w:p>
    <w:p w:rsidR="0013004A" w:rsidRPr="0013004A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62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Poté, co soud rozhodne a rodiče toto rozhodnutí obdrží, je třeba vyčkat na nabytí právní moci (lze urychlit vzdáním se všech účastníků práva na odvolání). </w:t>
      </w:r>
      <w:r w:rsidRPr="00130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nabytí právní moci rozsudku je možné, aby rodiče soudem schválené právní jednání z</w:t>
      </w:r>
      <w:r w:rsidR="00F249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130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nezletilého učinili. </w:t>
      </w:r>
    </w:p>
    <w:p w:rsidR="0013004A" w:rsidRPr="0012200C" w:rsidRDefault="0013004A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 w:rsidRPr="001300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>Vzor podání o</w:t>
      </w:r>
      <w:r w:rsidR="0006692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>patrovnickému soudu najdete zde</w:t>
      </w:r>
    </w:p>
    <w:p w:rsidR="0013004A" w:rsidRPr="0013004A" w:rsidRDefault="0012200C" w:rsidP="001300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history="1"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vzor_nav</w:t>
        </w:r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</w:t>
        </w:r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na </w:t>
        </w:r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schvaleni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pravniho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jednani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za </w:t>
        </w:r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nezletileho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.</w:t>
        </w:r>
        <w:proofErr w:type="spellStart"/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docx</w:t>
        </w:r>
        <w:proofErr w:type="spellEnd"/>
      </w:hyperlink>
    </w:p>
    <w:p w:rsidR="00254E96" w:rsidRPr="0013004A" w:rsidRDefault="00254E96" w:rsidP="0013004A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54E96" w:rsidRPr="0013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A"/>
    <w:rsid w:val="0006692A"/>
    <w:rsid w:val="0012200C"/>
    <w:rsid w:val="0013004A"/>
    <w:rsid w:val="00191609"/>
    <w:rsid w:val="00254E96"/>
    <w:rsid w:val="003259E1"/>
    <w:rsid w:val="00927BCB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0D06-C510-4AC5-BA9E-274B443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00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0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69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6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mensikova\Desktop\Nov&#225;%20slo&#382;ka%20(6)\vzor_navrh%20na%20schvaleni%20pravniho%20jednani%20za%20nezletileho%20-%20kopie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Bohačíková</dc:creator>
  <cp:lastModifiedBy>mensikova</cp:lastModifiedBy>
  <cp:revision>2</cp:revision>
  <cp:lastPrinted>2015-12-07T15:11:00Z</cp:lastPrinted>
  <dcterms:created xsi:type="dcterms:W3CDTF">2015-12-09T11:34:00Z</dcterms:created>
  <dcterms:modified xsi:type="dcterms:W3CDTF">2015-12-09T11:34:00Z</dcterms:modified>
</cp:coreProperties>
</file>