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PODMÍNKY DOTAČNÍHO PROGRAMU REGENERACE MĚSTA FRÝDKU-MÍSTKU NA ROK 201</w:t>
      </w:r>
      <w:r>
        <w:rPr>
          <w:rFonts w:ascii="Calibri" w:hAnsi="Calibri"/>
          <w:b/>
          <w:noProof/>
          <w:sz w:val="22"/>
          <w:szCs w:val="22"/>
        </w:rPr>
        <w:t>9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I. Název dotačního programu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„Program regenerace města Frýdku-Místku na rok 201</w:t>
      </w:r>
      <w:r>
        <w:rPr>
          <w:rFonts w:ascii="Calibri" w:hAnsi="Calibri"/>
          <w:noProof/>
          <w:sz w:val="22"/>
          <w:szCs w:val="22"/>
        </w:rPr>
        <w:t>9</w:t>
      </w:r>
      <w:r w:rsidRPr="005A2577">
        <w:rPr>
          <w:rFonts w:ascii="Calibri" w:hAnsi="Calibri"/>
          <w:noProof/>
          <w:sz w:val="22"/>
          <w:szCs w:val="22"/>
        </w:rPr>
        <w:t>“ (dále jen „program“).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II. Vyhlašovatel programu, poskytovatel dotace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Vyhlašovatelem programu a poskytovatelem dotace je statutární město Frýdek-Místek (dále jen „město“), Radniční 1148, 738 01 Frýdek-Místek, IČ</w:t>
      </w:r>
      <w:r>
        <w:rPr>
          <w:rFonts w:ascii="Calibri" w:hAnsi="Calibri"/>
          <w:noProof/>
          <w:sz w:val="22"/>
          <w:szCs w:val="22"/>
        </w:rPr>
        <w:t>O</w:t>
      </w:r>
      <w:r w:rsidRPr="005A2577">
        <w:rPr>
          <w:rFonts w:ascii="Calibri" w:hAnsi="Calibri"/>
          <w:noProof/>
          <w:sz w:val="22"/>
          <w:szCs w:val="22"/>
        </w:rPr>
        <w:t>: 00296643.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III. Dotační titul programu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Cs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 xml:space="preserve">Program je určen na podporu obnovy kulturních památek, nacházejících se na území statutárního města Frýdku-Místku a rovněž na obnovu objektů, nacházejících se na území Městské památkové zóny Frýdek a na území Městské památkové zóny Místek (dále jen „MPZ“).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Cs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>Kulturní památkou se rozumí objekt zapsaný v Ústředním seznamu kulturních památek ČR, vedeném u Národního památkového ústavu v Praze.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IV. Cíle programu (účelové určení)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 rámci tohoto programu budou poskytovány peněžní prostředky na podporu projektů zaměřených dle dotačních titulů podle čl. III.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Cílem programu je částečná úhrada zvýšených nákladů spojených se zachováním a obnovou autentických prvků a konstrukcí za účelem zachování souhrnné památkové hodnoty kulturní památky na území statutárního města Frýdku-Místku nebo objektu na území MPZ, nikoli na modernizace a jiné úpravy prováděné v zájmu jejího vlastníka, ani na práce investiční povahy.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Finanční prostředky poskytnuté v rámci tohoto programu jsou rozpočtovými prostředky statutárního města Frýdek-Místek, jejich poskytování, použití a vyúčtování se řídí platnými právními předpisy.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V. Podmínky pro poskytování dotací</w:t>
      </w:r>
    </w:p>
    <w:p w:rsidR="00216C32" w:rsidRPr="005A2577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>Maximální výše dotace</w:t>
      </w:r>
      <w:r w:rsidRPr="005A2577">
        <w:rPr>
          <w:rFonts w:ascii="Calibri" w:hAnsi="Calibri"/>
          <w:noProof/>
          <w:sz w:val="22"/>
          <w:szCs w:val="22"/>
        </w:rPr>
        <w:t xml:space="preserve"> na jeden projekt je do 30 % z uznatelných nákladů, maximálně však do výše 300.000,- Kč.</w:t>
      </w:r>
    </w:p>
    <w:p w:rsidR="00216C32" w:rsidRPr="005A2577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Žadatelem požadovaná výše dotace musí být zaokrouhlena na celé stokoruny.</w:t>
      </w:r>
    </w:p>
    <w:p w:rsidR="00216C32" w:rsidRPr="005A2577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Při nesplnění podmínky uvedené v odst. 2 budou projekty doporučené ke schválení předkládány zastupitelstvu města s požadovanou výší dotace upravenou po zaokrouhlení všech nákladových položek na celé stokoruny směrem dolů; procentní podíl dotace na uznatelných nákladech projektu se tím sníží.</w:t>
      </w:r>
    </w:p>
    <w:p w:rsidR="00216C32" w:rsidRPr="005A2577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Uznatelné jsou pouze neinvestiční náklady projektu.</w:t>
      </w:r>
    </w:p>
    <w:p w:rsidR="00216C32" w:rsidRPr="005A2577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lastRenderedPageBreak/>
        <w:t>Pokud celková požadovaná částka všech žádostí o dotaci přesáhne výši schválených prostředků v rozpočtu města, bude procentuální podíl dotací u všech projektů adekvátně snížen.</w:t>
      </w:r>
    </w:p>
    <w:p w:rsidR="00216C32" w:rsidRPr="005A2577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Realizace projektu byla zahájena nejdříve ode dne </w:t>
      </w:r>
      <w:r w:rsidRPr="005A2577">
        <w:rPr>
          <w:rFonts w:ascii="Calibri" w:hAnsi="Calibri"/>
          <w:b/>
          <w:bCs/>
          <w:noProof/>
          <w:sz w:val="22"/>
          <w:szCs w:val="22"/>
        </w:rPr>
        <w:t>1. 1. 201</w:t>
      </w:r>
      <w:r>
        <w:rPr>
          <w:rFonts w:ascii="Calibri" w:hAnsi="Calibri"/>
          <w:b/>
          <w:bCs/>
          <w:noProof/>
          <w:sz w:val="22"/>
          <w:szCs w:val="22"/>
        </w:rPr>
        <w:t>9</w:t>
      </w:r>
      <w:r w:rsidRPr="005A2577">
        <w:rPr>
          <w:rFonts w:ascii="Calibri" w:hAnsi="Calibri"/>
          <w:noProof/>
          <w:sz w:val="22"/>
          <w:szCs w:val="22"/>
        </w:rPr>
        <w:t xml:space="preserve">, projekt bude ukončen nejpozději do </w:t>
      </w:r>
      <w:r w:rsidRPr="005A2577">
        <w:rPr>
          <w:rFonts w:ascii="Calibri" w:hAnsi="Calibri"/>
          <w:b/>
          <w:bCs/>
          <w:noProof/>
          <w:sz w:val="22"/>
          <w:szCs w:val="22"/>
        </w:rPr>
        <w:t>31. 12. 201</w:t>
      </w:r>
      <w:r>
        <w:rPr>
          <w:rFonts w:ascii="Calibri" w:hAnsi="Calibri"/>
          <w:b/>
          <w:bCs/>
          <w:noProof/>
          <w:sz w:val="22"/>
          <w:szCs w:val="22"/>
        </w:rPr>
        <w:t>9</w:t>
      </w:r>
      <w:r w:rsidRPr="005A2577">
        <w:rPr>
          <w:rFonts w:ascii="Calibri" w:hAnsi="Calibri"/>
          <w:noProof/>
          <w:sz w:val="22"/>
          <w:szCs w:val="22"/>
        </w:rPr>
        <w:t>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VI. Uznatelné náklady projektu</w:t>
      </w:r>
    </w:p>
    <w:p w:rsidR="00216C32" w:rsidRPr="005A2577" w:rsidRDefault="00216C32" w:rsidP="00216C32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i/>
          <w:iCs/>
          <w:noProof/>
          <w:sz w:val="22"/>
          <w:szCs w:val="22"/>
        </w:rPr>
        <w:t>Uznatelný náklad projektu</w:t>
      </w:r>
      <w:r w:rsidRPr="005A2577">
        <w:rPr>
          <w:rFonts w:ascii="Calibri" w:hAnsi="Calibri"/>
          <w:noProof/>
          <w:sz w:val="22"/>
          <w:szCs w:val="22"/>
        </w:rPr>
        <w:t xml:space="preserve"> je náklad, který splňuje současně všechny níže uvedené podmínky: 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byl vynaložen v souladu s podmínkami smlouvy a podmínkami vyhlášeného dotačního programu,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vznikl příjemci v období realizace projektu,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byl příjemcem uhrazen v období realizace projektu.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Z prostředků dotace lze hradit zejména tyto stavební úpravy nemovitosti: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•</w:t>
      </w:r>
      <w:r w:rsidRPr="005A2577">
        <w:rPr>
          <w:rFonts w:ascii="Calibri" w:hAnsi="Calibri"/>
          <w:noProof/>
          <w:sz w:val="22"/>
          <w:szCs w:val="22"/>
        </w:rPr>
        <w:tab/>
        <w:t>Statické zajištění nemovitosti v nezbytném rozsahu.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•</w:t>
      </w:r>
      <w:r w:rsidRPr="005A2577">
        <w:rPr>
          <w:rFonts w:ascii="Calibri" w:hAnsi="Calibri"/>
          <w:noProof/>
          <w:sz w:val="22"/>
          <w:szCs w:val="22"/>
        </w:rPr>
        <w:tab/>
        <w:t>Výměna střešní krytiny, popř. prvků střešní konstrukce.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•</w:t>
      </w:r>
      <w:r w:rsidRPr="005A2577">
        <w:rPr>
          <w:rFonts w:ascii="Calibri" w:hAnsi="Calibri"/>
          <w:noProof/>
          <w:sz w:val="22"/>
          <w:szCs w:val="22"/>
        </w:rPr>
        <w:tab/>
        <w:t>Obnova fasády (okapy, římsy, atika, mříže, označení provozoven, popř. další estetické prvky</w:t>
      </w:r>
    </w:p>
    <w:p w:rsidR="00216C32" w:rsidRPr="005A2577" w:rsidRDefault="00216C32" w:rsidP="00216C32">
      <w:pPr>
        <w:spacing w:after="160" w:line="259" w:lineRule="auto"/>
        <w:ind w:firstLine="709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vnější fasády, atd.).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•</w:t>
      </w:r>
      <w:r w:rsidRPr="005A2577">
        <w:rPr>
          <w:rFonts w:ascii="Calibri" w:hAnsi="Calibri"/>
          <w:noProof/>
          <w:sz w:val="22"/>
          <w:szCs w:val="22"/>
        </w:rPr>
        <w:tab/>
        <w:t>Výměna výplní vnějších otvorů (okna, dveře, výklady).</w:t>
      </w:r>
    </w:p>
    <w:p w:rsidR="00216C32" w:rsidRPr="005A2577" w:rsidRDefault="00216C32" w:rsidP="00216C32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i/>
          <w:iCs/>
          <w:noProof/>
          <w:sz w:val="22"/>
          <w:szCs w:val="22"/>
        </w:rPr>
      </w:pPr>
      <w:r w:rsidRPr="005A2577">
        <w:rPr>
          <w:rFonts w:ascii="Calibri" w:hAnsi="Calibri"/>
          <w:i/>
          <w:iCs/>
          <w:noProof/>
          <w:sz w:val="22"/>
          <w:szCs w:val="22"/>
        </w:rPr>
        <w:t xml:space="preserve">Neuznatelné náklady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 rámci projektu nelze uznat: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modernizace objektů - zateplování, vytápění, elektroinstalace, rozvody vody, splašková kanalizace, plynofikace, vzduchotechnika, sanitární technika, výplně otvorů z plastu, nebo typu EURO (okna, dveře, výkladce), protipožární okna, dveře a stěny;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hromosvody (pokud nejsou součástí obnov střešní krytiny), izolační střešní folie apod.; 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nástavby a přístavby objektů, půdní vestavby, provizorní úpravy objektů (např. provizorní zakrytí střech);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protiradonová opatření;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čištění a úklid budov;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left" w:pos="709"/>
          <w:tab w:val="num" w:pos="1080"/>
          <w:tab w:val="num" w:pos="1134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pronájem lešení;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stavebně-historické a restaurátorské průzkumy, záměry, zprávy, projektové dokumentace;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náklady na stavební/autorský dozor; 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1080"/>
          <w:tab w:val="num" w:pos="1134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úpravy veřejných prostranství (cesty, ulice, chodníky), terénní úpravy, sadové a parkové  úpravy zeleně; 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    kopie sochařských děl a výdusky;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lastRenderedPageBreak/>
        <w:t>archeologie;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    veškeré vedlejší rozpočtové náklady (vyjma zařízení staveniště do 3,5 %);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položka v rozpočtu – rezerva;  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režijní náklady, cestovné, dopravné, revize, náklady za ubytování, koordinační činnost, zábory veřejného prostranství;</w:t>
      </w:r>
    </w:p>
    <w:p w:rsidR="00216C32" w:rsidRPr="005A2577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DPH u příjemce dotace, který má nárok na odpočet.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VII.  Vymezení okruhu žadatelů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Oprávnění žadatelé o dotaci jsou vlastníci kulturních památek, nacházejících se na území statutárního města Frýdku-Místku a objektů v MPZ.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VIII.  Podmínky použití dotace</w:t>
      </w:r>
    </w:p>
    <w:p w:rsidR="00216C32" w:rsidRPr="005A2577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Dotaci lze použít pouze na úhradu účelově určených uznatelných nákladů v souladu s obsahem projektu, smlouvou, podmínkami tohoto programu a strukturou položkového rozpočtu, za podmínek dodržení všech závazných ukazatelů. Závazný ukazatel je finanční, časový či jinak specifikovaný ukazatel jako závazný označený poskytovatelem ve vyhlášeném programu nebo ve smlouvě, jehož dodržení a splnění je pro příjemce po celou dobu realizace projektu závazné.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bCs/>
          <w:i/>
          <w:iCs/>
          <w:noProof/>
          <w:sz w:val="22"/>
          <w:szCs w:val="22"/>
        </w:rPr>
      </w:pPr>
      <w:r w:rsidRPr="005A2577">
        <w:rPr>
          <w:rFonts w:ascii="Calibri" w:hAnsi="Calibri"/>
          <w:b/>
          <w:bCs/>
          <w:noProof/>
          <w:sz w:val="22"/>
          <w:szCs w:val="22"/>
        </w:rPr>
        <w:t xml:space="preserve">Závaznými ukazateli jsou: </w:t>
      </w:r>
    </w:p>
    <w:p w:rsidR="00216C32" w:rsidRPr="005A2577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Calibri" w:hAnsi="Calibri"/>
          <w:b/>
          <w:bCs/>
          <w:i/>
          <w:iCs/>
          <w:noProof/>
          <w:sz w:val="22"/>
          <w:szCs w:val="22"/>
        </w:rPr>
      </w:pPr>
      <w:r w:rsidRPr="005A2577">
        <w:rPr>
          <w:rFonts w:ascii="Calibri" w:hAnsi="Calibri"/>
          <w:b/>
          <w:bCs/>
          <w:i/>
          <w:iCs/>
          <w:noProof/>
          <w:sz w:val="22"/>
          <w:szCs w:val="22"/>
        </w:rPr>
        <w:t>Objekt je zapsán v Ústředním seznamu kulturních památek ČR a nachází se na území statutárního města Frýdku-Místku, a nebo se jedná o objekt nacházející se na území MPZ.</w:t>
      </w:r>
    </w:p>
    <w:p w:rsidR="00216C32" w:rsidRPr="005A2577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Calibri" w:hAnsi="Calibri"/>
          <w:b/>
          <w:bCs/>
          <w:i/>
          <w:iCs/>
          <w:noProof/>
          <w:sz w:val="22"/>
          <w:szCs w:val="22"/>
        </w:rPr>
      </w:pPr>
      <w:r w:rsidRPr="005A2577">
        <w:rPr>
          <w:rFonts w:ascii="Calibri" w:hAnsi="Calibri"/>
          <w:b/>
          <w:bCs/>
          <w:i/>
          <w:iCs/>
          <w:noProof/>
          <w:sz w:val="22"/>
          <w:szCs w:val="22"/>
        </w:rPr>
        <w:t>Obnova musí probíhat podle zákona číslo 20/1987 Sb., o státní památkové péči a zákona č. 183/2006 Sb., o územním plánování a stavebním řádu (stavební zákon), oba ve znění pozdějších předpisů.</w:t>
      </w:r>
    </w:p>
    <w:p w:rsidR="00216C32" w:rsidRPr="005A2577" w:rsidRDefault="00216C32" w:rsidP="00216C32">
      <w:pPr>
        <w:numPr>
          <w:ilvl w:val="0"/>
          <w:numId w:val="7"/>
        </w:numPr>
        <w:tabs>
          <w:tab w:val="left" w:pos="567"/>
        </w:tabs>
        <w:spacing w:after="160" w:line="259" w:lineRule="auto"/>
        <w:jc w:val="both"/>
        <w:rPr>
          <w:rFonts w:ascii="Calibri" w:hAnsi="Calibri"/>
          <w:b/>
          <w:bCs/>
          <w:i/>
          <w:iCs/>
          <w:noProof/>
          <w:sz w:val="22"/>
          <w:szCs w:val="22"/>
        </w:rPr>
      </w:pPr>
      <w:r w:rsidRPr="005A2577">
        <w:rPr>
          <w:rFonts w:ascii="Calibri" w:hAnsi="Calibri"/>
          <w:b/>
          <w:bCs/>
          <w:i/>
          <w:iCs/>
          <w:noProof/>
          <w:sz w:val="22"/>
          <w:szCs w:val="22"/>
        </w:rPr>
        <w:t>Obnova (nebo její etapa) musí být dostatečně připravena tak, aby mohla být provedena v roce 201</w:t>
      </w:r>
      <w:r>
        <w:rPr>
          <w:rFonts w:ascii="Calibri" w:hAnsi="Calibri"/>
          <w:b/>
          <w:bCs/>
          <w:i/>
          <w:iCs/>
          <w:noProof/>
          <w:sz w:val="22"/>
          <w:szCs w:val="22"/>
        </w:rPr>
        <w:t>9</w:t>
      </w:r>
      <w:r w:rsidRPr="005A2577">
        <w:rPr>
          <w:rFonts w:ascii="Calibri" w:hAnsi="Calibri"/>
          <w:b/>
          <w:bCs/>
          <w:i/>
          <w:iCs/>
          <w:noProof/>
          <w:sz w:val="22"/>
          <w:szCs w:val="22"/>
        </w:rPr>
        <w:t>.</w:t>
      </w:r>
    </w:p>
    <w:p w:rsidR="00216C32" w:rsidRPr="005A2577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Calibri" w:hAnsi="Calibri"/>
          <w:b/>
          <w:bCs/>
          <w:i/>
          <w:iCs/>
          <w:noProof/>
          <w:sz w:val="22"/>
          <w:szCs w:val="22"/>
        </w:rPr>
      </w:pPr>
      <w:r w:rsidRPr="005A2577">
        <w:rPr>
          <w:rFonts w:ascii="Calibri" w:hAnsi="Calibri"/>
          <w:b/>
          <w:bCs/>
          <w:i/>
          <w:iCs/>
          <w:noProof/>
          <w:sz w:val="22"/>
          <w:szCs w:val="22"/>
        </w:rPr>
        <w:t>Připravenost akce (datum vydání závazného stanoviska orgánu státní památkové péče a datum vydání stavebního povolení nebo ohlášení stavebních úprav).</w:t>
      </w:r>
    </w:p>
    <w:p w:rsidR="00216C32" w:rsidRPr="005A2577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/>
          <w:bCs/>
          <w:i/>
          <w:iCs/>
          <w:noProof/>
          <w:sz w:val="22"/>
          <w:szCs w:val="22"/>
        </w:rPr>
        <w:t>Akce obnovy většího rozsahu (s celkovými ročními náklady nad 1 milion Kč) musí být doložena propočtem (odhadem nákladů), jinak nebude započtena.</w:t>
      </w:r>
    </w:p>
    <w:p w:rsidR="00216C32" w:rsidRPr="005A2577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Realizace projektu ani dotace není převoditelná na jiný právní subjekt. Příjemce je povinen projekt realizovat vlastním jménem, na vlastní účet a na vlastní odpovědnost.</w:t>
      </w:r>
    </w:p>
    <w:p w:rsidR="00216C32" w:rsidRPr="005A2577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Realizace celého projektu, včetně použití dotace, musí příjemce sledovat v účetní evidenci a členit v souladu s nákladovou strukturou rozpočtu projektu. Tato evidence musí být podložena účetními doklady ve smyslu zákona č. 563/1991 Sb., o účetnictví, v platném znění.</w:t>
      </w:r>
    </w:p>
    <w:p w:rsidR="00216C32" w:rsidRPr="009C40E9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Čestné prohlášení příjemce o vynaložení finančních prostředků v rámci realizace projektu není považováno za účetní doklad.</w:t>
      </w:r>
    </w:p>
    <w:p w:rsidR="00216C32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IX.  Lokalizace programu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iCs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Příjemci dotace musí projekt realizovat na území statutárního města Frýdku-Místku.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X. Předkládání žádosti o dotace</w:t>
      </w:r>
    </w:p>
    <w:p w:rsidR="00216C32" w:rsidRPr="005A2577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Žadatel předkládá žádost, kterou tvoří: 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žádost o poskytnutí dotace - obecná část, projektová část a položkový rozpočet projektu (příloha č. 1);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stanovisko orgánu státní památkové péče podle ustanovení § 14 zákona číslo 20/1987 Sb., o státní památkové péči, ve znění pozdějších předpisů;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stavební povolení, případně ohlášení stavebních úprav (pokud to charakter prací vyžaduje) nebo sdělení stavebního úřadu, že záměr nepodléhá režimu stavebního zákona;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smlouva o dílo, obsahující specifikaci druhu a rozsahu prací + rozpočet, ke kterým se váže žádost o příspěvek, přičemž termín provedení prací, případně etapy prací, musí být shodný s rokem, pro který je žádost podána;  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fotodokumentace současného technického stavu objektu, nebo jeho části, ke které se váže žádost o příspěvek;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kopie smlouvy o zřízení běžného účtu u peněžního ústavu nebo písemné potvrzení peněžního ústavu o vedení běžného účtu žadatele;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čestné prohlášení, zda žadatel je či není plátcem DPH (příloha č. 6);</w:t>
      </w:r>
    </w:p>
    <w:p w:rsidR="00216C32" w:rsidRPr="005A2577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plná moc (příloha č. 2) v případě, že žádost podává jen jeden ze spoluvlastníků.</w:t>
      </w:r>
    </w:p>
    <w:p w:rsidR="00216C32" w:rsidRPr="005A2577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Žadatel o dotaci předkládá svou žádost písemně a současně i v elektronické podobě na CD. </w:t>
      </w:r>
    </w:p>
    <w:p w:rsidR="00216C32" w:rsidRPr="005A2577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Žádost o dotaci spolu se všemi vyplněnými přílohami v jednom podepsaném originále (včetně CD) lze podat prostřednictvím provozovatele poštovních služeb nebo osobně na podatelně Magistrátu města Frýdku-Místku na tuto adresu: </w:t>
      </w:r>
    </w:p>
    <w:p w:rsidR="00216C32" w:rsidRDefault="00216C32" w:rsidP="00216C32">
      <w:pPr>
        <w:spacing w:line="259" w:lineRule="auto"/>
        <w:rPr>
          <w:rFonts w:ascii="Calibri" w:hAnsi="Calibri"/>
          <w:b/>
          <w:bCs/>
          <w:noProof/>
          <w:sz w:val="22"/>
          <w:szCs w:val="22"/>
        </w:rPr>
      </w:pPr>
    </w:p>
    <w:p w:rsidR="00216C32" w:rsidRPr="005A2577" w:rsidRDefault="00216C32" w:rsidP="00216C32">
      <w:pPr>
        <w:spacing w:line="259" w:lineRule="auto"/>
        <w:rPr>
          <w:rFonts w:ascii="Calibri" w:hAnsi="Calibri"/>
          <w:b/>
          <w:bCs/>
          <w:noProof/>
          <w:sz w:val="22"/>
          <w:szCs w:val="22"/>
        </w:rPr>
      </w:pPr>
      <w:r w:rsidRPr="005A2577">
        <w:rPr>
          <w:rFonts w:ascii="Calibri" w:hAnsi="Calibri"/>
          <w:b/>
          <w:bCs/>
          <w:noProof/>
          <w:sz w:val="22"/>
          <w:szCs w:val="22"/>
        </w:rPr>
        <w:t>Statutární město Frýdek-Místek</w:t>
      </w:r>
    </w:p>
    <w:p w:rsidR="00216C32" w:rsidRPr="005A2577" w:rsidRDefault="00216C32" w:rsidP="00216C32">
      <w:pPr>
        <w:spacing w:line="259" w:lineRule="auto"/>
        <w:rPr>
          <w:rFonts w:ascii="Calibri" w:hAnsi="Calibri"/>
          <w:b/>
          <w:bCs/>
          <w:noProof/>
          <w:sz w:val="22"/>
          <w:szCs w:val="22"/>
        </w:rPr>
      </w:pPr>
      <w:r w:rsidRPr="005A2577">
        <w:rPr>
          <w:rFonts w:ascii="Calibri" w:hAnsi="Calibri"/>
          <w:b/>
          <w:bCs/>
          <w:noProof/>
          <w:sz w:val="22"/>
          <w:szCs w:val="22"/>
        </w:rPr>
        <w:t>odbor územního rozvoje a stavebního řádu</w:t>
      </w:r>
      <w:r w:rsidRPr="005A2577">
        <w:rPr>
          <w:rFonts w:ascii="Calibri" w:hAnsi="Calibri"/>
          <w:noProof/>
          <w:sz w:val="22"/>
          <w:szCs w:val="22"/>
        </w:rPr>
        <w:br/>
      </w:r>
      <w:r w:rsidRPr="005A2577">
        <w:rPr>
          <w:rFonts w:ascii="Calibri" w:hAnsi="Calibri"/>
          <w:b/>
          <w:bCs/>
          <w:noProof/>
          <w:sz w:val="22"/>
          <w:szCs w:val="22"/>
        </w:rPr>
        <w:t>Radniční 1148</w:t>
      </w:r>
      <w:r w:rsidRPr="005A2577">
        <w:rPr>
          <w:rFonts w:ascii="Calibri" w:hAnsi="Calibri"/>
          <w:noProof/>
          <w:sz w:val="22"/>
          <w:szCs w:val="22"/>
        </w:rPr>
        <w:br/>
      </w:r>
      <w:r w:rsidRPr="005A2577">
        <w:rPr>
          <w:rFonts w:ascii="Calibri" w:hAnsi="Calibri"/>
          <w:b/>
          <w:bCs/>
          <w:noProof/>
          <w:sz w:val="22"/>
          <w:szCs w:val="22"/>
        </w:rPr>
        <w:t>738 22 Frýdek-Místek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</w:p>
    <w:p w:rsidR="00216C32" w:rsidRPr="005A2577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>Z dalšího posuzování budou vyloučeny žádosti předložené vyhlašovateli:</w:t>
      </w:r>
      <w:r w:rsidRPr="005A2577">
        <w:rPr>
          <w:rFonts w:ascii="Calibri" w:hAnsi="Calibri"/>
          <w:noProof/>
          <w:sz w:val="22"/>
          <w:szCs w:val="22"/>
        </w:rPr>
        <w:t xml:space="preserve"> </w:t>
      </w:r>
    </w:p>
    <w:p w:rsidR="00216C32" w:rsidRPr="005A2577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>v rozporu s tímto programem</w:t>
      </w:r>
      <w:r w:rsidRPr="005A2577">
        <w:rPr>
          <w:rFonts w:ascii="Calibri" w:hAnsi="Calibri"/>
          <w:noProof/>
          <w:sz w:val="22"/>
          <w:szCs w:val="22"/>
        </w:rPr>
        <w:t>;</w:t>
      </w:r>
    </w:p>
    <w:p w:rsidR="00216C32" w:rsidRPr="005A2577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>jakýmkoli jiným způsobem (např. faxem nebo e-mailem)</w:t>
      </w:r>
      <w:r w:rsidRPr="005A2577">
        <w:rPr>
          <w:rFonts w:ascii="Calibri" w:hAnsi="Calibri"/>
          <w:noProof/>
          <w:sz w:val="22"/>
          <w:szCs w:val="22"/>
        </w:rPr>
        <w:t xml:space="preserve"> ;</w:t>
      </w:r>
    </w:p>
    <w:p w:rsidR="00216C32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>doručené na jiné adresy nebo neobsahující náležitosti dle bodu X. 1. odstavec a) až d)</w:t>
      </w:r>
      <w:r w:rsidRPr="005A2577">
        <w:rPr>
          <w:rFonts w:ascii="Calibri" w:hAnsi="Calibri"/>
          <w:noProof/>
          <w:sz w:val="22"/>
          <w:szCs w:val="22"/>
        </w:rPr>
        <w:t xml:space="preserve"> ;</w:t>
      </w:r>
    </w:p>
    <w:p w:rsidR="00216C32" w:rsidRPr="00216C32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216C32">
        <w:rPr>
          <w:rFonts w:ascii="Calibri" w:hAnsi="Calibri"/>
          <w:bCs/>
          <w:noProof/>
          <w:sz w:val="22"/>
          <w:szCs w:val="22"/>
        </w:rPr>
        <w:lastRenderedPageBreak/>
        <w:t>mimo lhůtu pro předložení žádosti</w:t>
      </w:r>
      <w:r w:rsidRPr="00216C32">
        <w:rPr>
          <w:rFonts w:ascii="Calibri" w:hAnsi="Calibri"/>
          <w:noProof/>
          <w:sz w:val="22"/>
          <w:szCs w:val="22"/>
        </w:rPr>
        <w:t>;</w:t>
      </w:r>
    </w:p>
    <w:p w:rsidR="00216C32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Cs/>
          <w:noProof/>
          <w:sz w:val="22"/>
          <w:szCs w:val="22"/>
        </w:rPr>
        <w:t>nepodepsané osobou oprávněnou jednat za žadatele</w:t>
      </w:r>
      <w:r w:rsidRPr="005A2577">
        <w:rPr>
          <w:rFonts w:ascii="Calibri" w:hAnsi="Calibri"/>
          <w:noProof/>
          <w:sz w:val="22"/>
          <w:szCs w:val="22"/>
        </w:rPr>
        <w:t>;</w:t>
      </w:r>
    </w:p>
    <w:p w:rsidR="00216C32" w:rsidRPr="00216C32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216C32">
        <w:rPr>
          <w:rFonts w:ascii="Calibri" w:hAnsi="Calibri"/>
          <w:bCs/>
          <w:noProof/>
          <w:sz w:val="22"/>
          <w:szCs w:val="22"/>
        </w:rPr>
        <w:t>v případě, že žadatel bude mít k termínu podání žádosti vůči poskytovateli neuhrazené finanční závazky po lhůtě splatnosti,</w:t>
      </w:r>
      <w:r w:rsidRPr="00216C32">
        <w:rPr>
          <w:rFonts w:ascii="Calibri" w:hAnsi="Calibri"/>
          <w:noProof/>
          <w:sz w:val="22"/>
          <w:szCs w:val="22"/>
        </w:rPr>
        <w:t xml:space="preserve"> </w:t>
      </w:r>
      <w:r w:rsidRPr="00216C32">
        <w:rPr>
          <w:rFonts w:ascii="Calibri" w:hAnsi="Calibri"/>
          <w:bCs/>
          <w:noProof/>
          <w:sz w:val="22"/>
          <w:szCs w:val="22"/>
        </w:rPr>
        <w:t>na projekt realizovaný mimo území statutárního města Frýdek-Místek.</w:t>
      </w:r>
    </w:p>
    <w:p w:rsidR="00216C32" w:rsidRPr="005A2577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Pokud bude žádost podaná v souladu s bodem X. vykazovat jiné nedostatky, vyzve poskytovatel žadatele k jejich odstranění v náhradním termínu. K odstranění nedostatků žádosti budou žadatelé vyzváni písemně nebo e-mailem. Opravené  nebo chybějící dokumenty musí být na </w:t>
      </w:r>
      <w:r>
        <w:rPr>
          <w:rFonts w:ascii="Calibri" w:hAnsi="Calibri"/>
          <w:noProof/>
          <w:sz w:val="22"/>
          <w:szCs w:val="22"/>
        </w:rPr>
        <w:t>M</w:t>
      </w:r>
      <w:r w:rsidRPr="005A2577">
        <w:rPr>
          <w:rFonts w:ascii="Calibri" w:hAnsi="Calibri"/>
          <w:noProof/>
          <w:sz w:val="22"/>
          <w:szCs w:val="22"/>
        </w:rPr>
        <w:t>agistrát města doručeny nejpozději do 5 pracovních dnů ode dne zaslání výzvy administrátorem, a to e-mailem, poštou nebo doručeny osobně na podatelnu Magistrátu města Frýdku-Místku. Pokud tak žadatel neučiní, bude jeho žádost z hodnocení vyloučena.</w:t>
      </w:r>
    </w:p>
    <w:p w:rsidR="00216C32" w:rsidRPr="005A2577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Všechny došlé žádosti včetně jejich příloh se archivují a žadatelům se nevracejí.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XI.  Lhůta pro podání žádosti, kontaktní osoba a lhůta pro rozhodnutí o žádosti</w:t>
      </w:r>
    </w:p>
    <w:p w:rsidR="00216C32" w:rsidRPr="005A2577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Lhůta pro podávání žádostí je </w:t>
      </w:r>
      <w:r w:rsidRPr="005A2577">
        <w:rPr>
          <w:rFonts w:ascii="Calibri" w:hAnsi="Calibri"/>
          <w:b/>
          <w:noProof/>
          <w:sz w:val="22"/>
          <w:szCs w:val="22"/>
        </w:rPr>
        <w:t xml:space="preserve">od </w:t>
      </w:r>
      <w:r w:rsidRPr="00F3542A">
        <w:rPr>
          <w:rFonts w:ascii="Calibri" w:hAnsi="Calibri"/>
          <w:b/>
          <w:noProof/>
          <w:sz w:val="22"/>
          <w:szCs w:val="22"/>
        </w:rPr>
        <w:t>1</w:t>
      </w:r>
      <w:r>
        <w:rPr>
          <w:rFonts w:ascii="Calibri" w:hAnsi="Calibri"/>
          <w:b/>
          <w:noProof/>
          <w:sz w:val="22"/>
          <w:szCs w:val="22"/>
        </w:rPr>
        <w:t>5</w:t>
      </w:r>
      <w:r w:rsidRPr="00F3542A">
        <w:rPr>
          <w:rFonts w:ascii="Calibri" w:hAnsi="Calibri"/>
          <w:b/>
          <w:noProof/>
          <w:sz w:val="22"/>
          <w:szCs w:val="22"/>
        </w:rPr>
        <w:t>.10.201</w:t>
      </w:r>
      <w:r>
        <w:rPr>
          <w:rFonts w:ascii="Calibri" w:hAnsi="Calibri"/>
          <w:b/>
          <w:noProof/>
          <w:sz w:val="22"/>
          <w:szCs w:val="22"/>
        </w:rPr>
        <w:t>8</w:t>
      </w:r>
      <w:r w:rsidRPr="00F3542A">
        <w:rPr>
          <w:rFonts w:ascii="Calibri" w:hAnsi="Calibri"/>
          <w:noProof/>
          <w:sz w:val="22"/>
          <w:szCs w:val="22"/>
        </w:rPr>
        <w:t xml:space="preserve"> </w:t>
      </w:r>
      <w:r w:rsidRPr="00F3542A">
        <w:rPr>
          <w:rFonts w:ascii="Calibri" w:hAnsi="Calibri"/>
          <w:b/>
          <w:bCs/>
          <w:noProof/>
          <w:sz w:val="22"/>
          <w:szCs w:val="22"/>
        </w:rPr>
        <w:t>do 1</w:t>
      </w:r>
      <w:r>
        <w:rPr>
          <w:rFonts w:ascii="Calibri" w:hAnsi="Calibri"/>
          <w:b/>
          <w:bCs/>
          <w:noProof/>
          <w:sz w:val="22"/>
          <w:szCs w:val="22"/>
        </w:rPr>
        <w:t>2</w:t>
      </w:r>
      <w:r w:rsidRPr="00F3542A">
        <w:rPr>
          <w:rFonts w:ascii="Calibri" w:hAnsi="Calibri"/>
          <w:b/>
          <w:bCs/>
          <w:noProof/>
          <w:sz w:val="22"/>
          <w:szCs w:val="22"/>
        </w:rPr>
        <w:t>.</w:t>
      </w:r>
      <w:r>
        <w:rPr>
          <w:rFonts w:ascii="Calibri" w:hAnsi="Calibri"/>
          <w:b/>
          <w:bCs/>
          <w:noProof/>
          <w:sz w:val="22"/>
          <w:szCs w:val="22"/>
        </w:rPr>
        <w:t>12</w:t>
      </w:r>
      <w:r w:rsidRPr="00F3542A">
        <w:rPr>
          <w:rFonts w:ascii="Calibri" w:hAnsi="Calibri"/>
          <w:b/>
          <w:bCs/>
          <w:noProof/>
          <w:sz w:val="22"/>
          <w:szCs w:val="22"/>
        </w:rPr>
        <w:t>.201</w:t>
      </w:r>
      <w:r>
        <w:rPr>
          <w:rFonts w:ascii="Calibri" w:hAnsi="Calibri"/>
          <w:b/>
          <w:bCs/>
          <w:noProof/>
          <w:sz w:val="22"/>
          <w:szCs w:val="22"/>
        </w:rPr>
        <w:t>8</w:t>
      </w:r>
      <w:r w:rsidRPr="005A2577">
        <w:rPr>
          <w:rFonts w:ascii="Calibri" w:hAnsi="Calibri"/>
          <w:noProof/>
          <w:sz w:val="22"/>
          <w:szCs w:val="22"/>
        </w:rPr>
        <w:t xml:space="preserve"> včetně. Byla-li žádost podána prostřednictvím provozovatele poštovních služeb, je lhůta zachována, byla-li v poslední den lhůty převzata zásilka s žádostí k poštovní přepravě.</w:t>
      </w:r>
    </w:p>
    <w:p w:rsidR="00216C32" w:rsidRPr="005A2577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Poskytování dotací organizuje odbor územního rozvoje a stavebního řádu Magistrátu města Frýdku-Místku, Radniční 1148, 738 22 Frýdek-Místek.</w:t>
      </w:r>
    </w:p>
    <w:p w:rsidR="00216C32" w:rsidRPr="005A2577" w:rsidRDefault="00216C32" w:rsidP="00216C32">
      <w:pPr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Kontaktní osoba (administrátor) je: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Ing. Eva Čubová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tel.: 558 609 272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mobil: 777 921 381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e-mail: </w:t>
      </w:r>
      <w:hyperlink r:id="rId6" w:history="1">
        <w:r w:rsidRPr="005A2577">
          <w:rPr>
            <w:rStyle w:val="Hypertextovodkaz"/>
            <w:rFonts w:ascii="Calibri" w:hAnsi="Calibri"/>
            <w:noProof/>
            <w:sz w:val="22"/>
            <w:szCs w:val="22"/>
          </w:rPr>
          <w:t>cubova.eva@frydekmistek.cz</w:t>
        </w:r>
      </w:hyperlink>
      <w:r>
        <w:rPr>
          <w:rFonts w:ascii="Calibri" w:hAnsi="Calibri"/>
          <w:noProof/>
          <w:sz w:val="22"/>
          <w:szCs w:val="22"/>
        </w:rPr>
        <w:t xml:space="preserve">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 xml:space="preserve">Kompletní informace související s programem včetně formulářů lze získat na webových stránkách města </w:t>
      </w:r>
      <w:hyperlink r:id="rId7" w:history="1">
        <w:r w:rsidRPr="005A2577">
          <w:rPr>
            <w:rStyle w:val="Hypertextovodkaz"/>
            <w:rFonts w:ascii="Calibri" w:hAnsi="Calibri"/>
            <w:b/>
            <w:noProof/>
            <w:sz w:val="22"/>
            <w:szCs w:val="22"/>
          </w:rPr>
          <w:t>www.frydekmistek.cz</w:t>
        </w:r>
      </w:hyperlink>
      <w:r>
        <w:rPr>
          <w:rFonts w:ascii="Calibri" w:hAnsi="Calibri"/>
          <w:b/>
          <w:noProof/>
          <w:sz w:val="22"/>
          <w:szCs w:val="22"/>
        </w:rPr>
        <w:t>.</w:t>
      </w:r>
    </w:p>
    <w:p w:rsidR="00216C32" w:rsidRPr="005A2577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Zastupitelstvo města rozhodne o poskytnutí dotace na předložené projekty a o neposkytnutí dotace neúspěšným žadatelům nejpozději do 30.06.201</w:t>
      </w:r>
      <w:r>
        <w:rPr>
          <w:rFonts w:ascii="Calibri" w:hAnsi="Calibri"/>
          <w:noProof/>
          <w:sz w:val="22"/>
          <w:szCs w:val="22"/>
        </w:rPr>
        <w:t>9</w:t>
      </w:r>
      <w:r w:rsidRPr="005A2577">
        <w:rPr>
          <w:rFonts w:ascii="Calibri" w:hAnsi="Calibri"/>
          <w:noProof/>
          <w:sz w:val="22"/>
          <w:szCs w:val="22"/>
        </w:rPr>
        <w:t>.</w:t>
      </w:r>
    </w:p>
    <w:p w:rsidR="00216C32" w:rsidRPr="005A2577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Výsledky rozhodnutí zastupitelstva města budou uveřejněny na webových stránkách města do 10 kalendářních dnů od rozhodnutí zastupitelstva města. S žadateli, jimž budou dotační prostředky zastupitelstvem města schváleny, uzavře město smlouvu o poskytnutí dotace z rozpočtu města v souladu s platnými obecně závaznými právními předpisy.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XII.  Závěrečné vyúčtování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Po ukončení realizace projektu je příjemce povinen zpracovat a předložit poskytovateli závěrečné vyúčtování celého realizovaného projektu do termínu uvedeného ve smlouvě. Při vyúčtování dotace </w:t>
      </w:r>
      <w:r w:rsidRPr="005A2577">
        <w:rPr>
          <w:rFonts w:ascii="Calibri" w:hAnsi="Calibri"/>
          <w:noProof/>
          <w:sz w:val="22"/>
          <w:szCs w:val="22"/>
        </w:rPr>
        <w:lastRenderedPageBreak/>
        <w:t>se bude příjemce dotace řídit ustanoveními smlouvy o poskytnutí dotace. Závěrečné vyúčtování musí být zpracováno na formulářích předepsaných pro tento vyhlášený program (příloha č. 3, 4 a 5).</w:t>
      </w:r>
    </w:p>
    <w:p w:rsidR="00216C32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Kontrola použití dotace</w:t>
      </w:r>
    </w:p>
    <w:p w:rsidR="00216C32" w:rsidRPr="005A2577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Ověřování správnosti použití poskytnuté dotace, zejména zda byla hospodárně a účelně využita, podléhá kontrole poskytovatele podle zákona č. 320/2001 Sb., o finanční kontrole ve veřejné správě a o změně některých zákonů (zákon o finanční kontrole), ve znění pozdějších předpisů. Po obdržení závěrečného vyúčtování bude provedena kontrola: </w:t>
      </w:r>
    </w:p>
    <w:p w:rsidR="00216C32" w:rsidRPr="005A2577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formální správnosti;</w:t>
      </w:r>
    </w:p>
    <w:p w:rsidR="00216C32" w:rsidRPr="005A2577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dodržení účelového určení;</w:t>
      </w:r>
    </w:p>
    <w:p w:rsidR="00216C32" w:rsidRPr="005A2577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dodržení závazných ukazatelů;</w:t>
      </w:r>
    </w:p>
    <w:p w:rsidR="00216C32" w:rsidRPr="005A2577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uznatelnosti nákladů v rámci realizace projektu.</w:t>
      </w:r>
    </w:p>
    <w:p w:rsidR="00216C32" w:rsidRPr="005A2577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Neoprávněné použití dotace nebo zadržení dotace bude klasifikováno jako porušení rozpočtové kázně podle § 22 zákona č. 250/2000 Sb., o rozpočtových pravidlech územních rozpočtů, ve znění pozdějších předpisů.</w:t>
      </w:r>
    </w:p>
    <w:p w:rsidR="00216C32" w:rsidRPr="005A2577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Příjemce dotace umožní poskytovateli průběžně monitorovat realizaci projektu, finanční a věcné plnění smlouvy o poskytnutí dotace. Monitorování bude provádět odbor územního rozvoje a stavebního řádu.</w:t>
      </w:r>
    </w:p>
    <w:p w:rsidR="00216C32" w:rsidRPr="005A2577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na stavbě budou prováděny dle potřeby kontrolní dny (zejména před demontáží lešení, zasypáním konstrukcí, atd.). Výsledkem kontroly bude zápis a fotodokumentace;</w:t>
      </w:r>
    </w:p>
    <w:p w:rsidR="00216C32" w:rsidRPr="005A2577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vlastník obdrží zápisy a fotodokumentaci z kontrolních dnů. Bude písemně garantovat, že zjištěné nedodělky a vady byly odstraněny;</w:t>
      </w:r>
    </w:p>
    <w:p w:rsidR="00216C32" w:rsidRPr="005A2577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při nekvalitním zpracování regenerace fasády nebo při nedodržení podmínek použití dotace bude, dle závažnosti, dotace krácena nebo nevyplacena vůbec.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XIII. Výše rozpočtových prostředků</w:t>
      </w:r>
    </w:p>
    <w:p w:rsidR="00216C32" w:rsidRPr="005A2577" w:rsidRDefault="00216C32" w:rsidP="00216C32">
      <w:pPr>
        <w:numPr>
          <w:ilvl w:val="0"/>
          <w:numId w:val="5"/>
        </w:numPr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Pro tento program jsou navrhovány finanční prostředky ve výši 400 000,- Kč. Poskytnutí dotací a jejich konečná výše jsou podmíněny schválením finančních prostředků v rozpočtu SMFM zastupitelstvem města pro rok 201</w:t>
      </w:r>
      <w:r>
        <w:rPr>
          <w:rFonts w:ascii="Calibri" w:hAnsi="Calibri"/>
          <w:noProof/>
          <w:sz w:val="22"/>
          <w:szCs w:val="22"/>
        </w:rPr>
        <w:t>9</w:t>
      </w:r>
      <w:r w:rsidRPr="005A2577">
        <w:rPr>
          <w:rFonts w:ascii="Calibri" w:hAnsi="Calibri"/>
          <w:noProof/>
          <w:sz w:val="22"/>
          <w:szCs w:val="22"/>
        </w:rPr>
        <w:t>.</w:t>
      </w:r>
    </w:p>
    <w:p w:rsidR="00216C32" w:rsidRPr="005A2577" w:rsidRDefault="00216C32" w:rsidP="00216C32">
      <w:pPr>
        <w:numPr>
          <w:ilvl w:val="0"/>
          <w:numId w:val="5"/>
        </w:numPr>
        <w:spacing w:after="160" w:line="259" w:lineRule="auto"/>
        <w:ind w:left="360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V případě, že zastupitelstvo města neschválí finanční prostředky pro tento program, nebudou dotace v rámci tohoto programu v roce 201</w:t>
      </w:r>
      <w:r>
        <w:rPr>
          <w:rFonts w:ascii="Calibri" w:hAnsi="Calibri"/>
          <w:noProof/>
          <w:sz w:val="22"/>
          <w:szCs w:val="22"/>
        </w:rPr>
        <w:t>8</w:t>
      </w:r>
      <w:r w:rsidRPr="005A2577">
        <w:rPr>
          <w:rFonts w:ascii="Calibri" w:hAnsi="Calibri"/>
          <w:noProof/>
          <w:sz w:val="22"/>
          <w:szCs w:val="22"/>
        </w:rPr>
        <w:t xml:space="preserve"> poskytnuty.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bookmarkStart w:id="0" w:name="_GoBack"/>
      <w:bookmarkEnd w:id="0"/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XIV.  Závěrečná ustanovení</w:t>
      </w:r>
    </w:p>
    <w:p w:rsidR="00216C32" w:rsidRPr="00A2382B" w:rsidRDefault="00216C32" w:rsidP="00216C32">
      <w:pPr>
        <w:numPr>
          <w:ilvl w:val="3"/>
          <w:numId w:val="5"/>
        </w:numPr>
        <w:spacing w:after="160" w:line="259" w:lineRule="auto"/>
        <w:ind w:left="426" w:hanging="426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Na poskytnutí dotace není právní nárok. Město si vyhrazuje právo vyhlášený program bez udání důvodu zrušit.</w:t>
      </w:r>
    </w:p>
    <w:p w:rsidR="00216C32" w:rsidRPr="005A2577" w:rsidRDefault="00216C32" w:rsidP="00216C32">
      <w:pPr>
        <w:numPr>
          <w:ilvl w:val="3"/>
          <w:numId w:val="5"/>
        </w:numPr>
        <w:spacing w:after="160" w:line="259" w:lineRule="auto"/>
        <w:ind w:left="426" w:hanging="426"/>
        <w:jc w:val="both"/>
        <w:rPr>
          <w:rFonts w:ascii="Calibri" w:hAnsi="Calibri"/>
          <w:b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Tento program byl schválen Radou města Frýdek-Místek dne </w:t>
      </w:r>
      <w:r w:rsidRPr="00CF6706">
        <w:rPr>
          <w:rFonts w:ascii="Calibri" w:hAnsi="Calibri"/>
          <w:noProof/>
          <w:sz w:val="22"/>
          <w:szCs w:val="22"/>
        </w:rPr>
        <w:t>1</w:t>
      </w:r>
      <w:r>
        <w:rPr>
          <w:rFonts w:ascii="Calibri" w:hAnsi="Calibri"/>
          <w:noProof/>
          <w:sz w:val="22"/>
          <w:szCs w:val="22"/>
        </w:rPr>
        <w:t>1</w:t>
      </w:r>
      <w:r w:rsidRPr="00CF6706">
        <w:rPr>
          <w:rFonts w:ascii="Calibri" w:hAnsi="Calibri"/>
          <w:noProof/>
          <w:sz w:val="22"/>
          <w:szCs w:val="22"/>
        </w:rPr>
        <w:t>.09.201</w:t>
      </w:r>
      <w:r>
        <w:rPr>
          <w:rFonts w:ascii="Calibri" w:hAnsi="Calibri"/>
          <w:noProof/>
          <w:sz w:val="22"/>
          <w:szCs w:val="22"/>
        </w:rPr>
        <w:t>8</w:t>
      </w:r>
      <w:r w:rsidRPr="005A2577">
        <w:rPr>
          <w:rFonts w:ascii="Calibri" w:hAnsi="Calibri"/>
          <w:noProof/>
          <w:sz w:val="22"/>
          <w:szCs w:val="22"/>
        </w:rPr>
        <w:t>.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b/>
          <w:noProof/>
          <w:sz w:val="22"/>
          <w:szCs w:val="22"/>
        </w:rPr>
      </w:pP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>Seznam příloh dotačního programu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 xml:space="preserve">Příloha č. 1 - Žádost o poskytnutí dotace 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Příloha č. 2 – Plná moc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Příloha č. 3 - Vyúčtování dotace z Programu regenerace SMFM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Příloha č. 4 - Soupis účetních dokladů 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Příloha č. 5 - Oznámení o vrácení nevyčerpaných finančních prostředků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noProof/>
          <w:sz w:val="22"/>
          <w:szCs w:val="22"/>
        </w:rPr>
        <w:t>Příloha č. 6 – Čestné prohlášení k DPH</w:t>
      </w:r>
    </w:p>
    <w:p w:rsidR="00216C32" w:rsidRPr="005A2577" w:rsidRDefault="00216C32" w:rsidP="00216C32">
      <w:pPr>
        <w:spacing w:after="160" w:line="259" w:lineRule="auto"/>
        <w:jc w:val="both"/>
        <w:rPr>
          <w:rFonts w:ascii="Calibri" w:hAnsi="Calibri"/>
          <w:noProof/>
          <w:sz w:val="22"/>
          <w:szCs w:val="22"/>
        </w:rPr>
      </w:pPr>
      <w:r w:rsidRPr="005A2577">
        <w:rPr>
          <w:rFonts w:ascii="Calibri" w:hAnsi="Calibri"/>
          <w:b/>
          <w:noProof/>
          <w:sz w:val="22"/>
          <w:szCs w:val="22"/>
        </w:rPr>
        <w:t xml:space="preserve">Uvedené formuláře jsou k dispozici na internetové adrese </w:t>
      </w:r>
      <w:hyperlink r:id="rId8" w:history="1">
        <w:r w:rsidRPr="005A2577">
          <w:rPr>
            <w:rStyle w:val="Hypertextovodkaz"/>
            <w:rFonts w:ascii="Calibri" w:hAnsi="Calibri"/>
            <w:b/>
            <w:noProof/>
            <w:sz w:val="22"/>
            <w:szCs w:val="22"/>
          </w:rPr>
          <w:t>www.frydekmistek.cz</w:t>
        </w:r>
      </w:hyperlink>
      <w:r w:rsidRPr="005A2577">
        <w:rPr>
          <w:rFonts w:ascii="Calibri" w:hAnsi="Calibri"/>
          <w:noProof/>
          <w:sz w:val="22"/>
          <w:szCs w:val="22"/>
        </w:rPr>
        <w:t>.</w:t>
      </w:r>
    </w:p>
    <w:p w:rsidR="00D45E72" w:rsidRDefault="00D45E72"/>
    <w:sectPr w:rsidR="00D4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4B3"/>
    <w:multiLevelType w:val="multilevel"/>
    <w:tmpl w:val="E9B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C38AC"/>
    <w:multiLevelType w:val="multilevel"/>
    <w:tmpl w:val="A98C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0D1324"/>
    <w:multiLevelType w:val="multilevel"/>
    <w:tmpl w:val="1B72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30DD4"/>
    <w:multiLevelType w:val="hybridMultilevel"/>
    <w:tmpl w:val="86A4C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E3900"/>
    <w:multiLevelType w:val="hybridMultilevel"/>
    <w:tmpl w:val="A5203A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AD7C40"/>
    <w:multiLevelType w:val="hybridMultilevel"/>
    <w:tmpl w:val="0730082A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51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  <w:rPr>
          <w:rFonts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32"/>
    <w:rsid w:val="00216C32"/>
    <w:rsid w:val="00D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16C32"/>
    <w:rPr>
      <w:b w:val="0"/>
      <w:color w:val="auto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16C32"/>
    <w:rPr>
      <w:b w:val="0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bova.eva@frydekmistek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1878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cubova</cp:lastModifiedBy>
  <cp:revision>1</cp:revision>
  <dcterms:created xsi:type="dcterms:W3CDTF">2018-09-11T07:48:00Z</dcterms:created>
  <dcterms:modified xsi:type="dcterms:W3CDTF">2018-09-11T07:56:00Z</dcterms:modified>
</cp:coreProperties>
</file>