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88" w:rsidRDefault="00A25588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noProof/>
        </w:rPr>
        <w:drawing>
          <wp:inline distT="0" distB="0" distL="0" distR="0">
            <wp:extent cx="2876550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PODMÍNKY DOTAČNÍHO PROGRAMU REGENERACE MĚSTA FRÝDKU-MÍSTKU NA ROK 20</w:t>
      </w:r>
      <w:r w:rsidR="00A25588" w:rsidRPr="00A25588">
        <w:rPr>
          <w:rFonts w:ascii="Tahoma" w:hAnsi="Tahoma" w:cs="Tahoma"/>
          <w:b/>
          <w:noProof/>
          <w:sz w:val="21"/>
          <w:szCs w:val="21"/>
        </w:rPr>
        <w:t>20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I. Název dotačního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„Program regenerace města Frýdku-Místku na rok 20</w:t>
      </w:r>
      <w:r w:rsidR="00A25588" w:rsidRPr="00A25588">
        <w:rPr>
          <w:rFonts w:ascii="Tahoma" w:hAnsi="Tahoma" w:cs="Tahoma"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>“ (dále jen „program“).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II. Vyhlašovatel programu, poskytovatel dotace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Vyhlašovatelem programu a poskytovatelem dotace je statutární město Frýdek-Místek (dále jen „město“), Radniční 1148, </w:t>
      </w:r>
      <w:r w:rsidR="00A25588">
        <w:rPr>
          <w:rFonts w:ascii="Tahoma" w:hAnsi="Tahoma" w:cs="Tahoma"/>
          <w:noProof/>
          <w:sz w:val="21"/>
          <w:szCs w:val="21"/>
        </w:rPr>
        <w:t>Frýdek</w:t>
      </w:r>
      <w:r w:rsidR="00E669DD">
        <w:rPr>
          <w:rFonts w:ascii="Tahoma" w:hAnsi="Tahoma" w:cs="Tahoma"/>
          <w:noProof/>
          <w:sz w:val="21"/>
          <w:szCs w:val="21"/>
        </w:rPr>
        <w:t xml:space="preserve">, </w:t>
      </w:r>
      <w:r w:rsidRPr="00A25588">
        <w:rPr>
          <w:rFonts w:ascii="Tahoma" w:hAnsi="Tahoma" w:cs="Tahoma"/>
          <w:noProof/>
          <w:sz w:val="21"/>
          <w:szCs w:val="21"/>
        </w:rPr>
        <w:t>738 01 Frýdek-Místek, IČO: 00296643.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III. Dotační titul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Cs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 xml:space="preserve">Program je určen na podporu obnovy kulturních památek, nacházejících se na území statutárního města Frýdku-Místku a rovněž na obnovu objektů, nacházejících se na území Městské památkové zóny Frýdek a na území Městské památkové zóny Místek (dále jen „MPZ“).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Cs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Kulturní památkou se rozumí objekt zapsaný v Ústředním seznamu kulturních památek ČR, vedeném u Národního památkového ústavu v Praze.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IV. Cíle programu (účelové určení)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 rámci tohoto programu budou poskytovány peněžní prostředky na podporu projektů zaměřených dle dotačních titulů podle čl. III.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Cílem programu je částečná úhrada zvýšených nákladů spojených se zachováním a obnovou autentických prvků a konstrukcí za účelem zachování souhrnné památkové hodnoty kulturní památky na území statutárního města Frýdku-Místku nebo objektu na území MPZ, nikoli na modernizace a jiné úpravy prováděné v zájmu jejího vlastníka, ani na práce investiční povahy.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V. Podmínky pro poskytování dotací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Maximální výše dotace</w:t>
      </w:r>
      <w:r w:rsidRPr="00A25588">
        <w:rPr>
          <w:rFonts w:ascii="Tahoma" w:hAnsi="Tahoma" w:cs="Tahoma"/>
          <w:noProof/>
          <w:sz w:val="21"/>
          <w:szCs w:val="21"/>
        </w:rPr>
        <w:t xml:space="preserve"> na jeden projekt je do 30 % z uznatelných nákladů, maximálně však do výše 300.000,- Kč.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Žadatelem požadovaná výše dotace musí být zaokrouhlena na celé stokoruny.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Při nesplnění podmínky uvedené v odst. 2 budou projekty doporučené ke schválení předkládány zastupitelstvu města s požadovanou výší dotace upravenou po zaokrouhlení všech nákladových položek na celé stokoruny směrem dolů; procentní podíl dotace na uznatelných nákladech projektu se tím sníží.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Uznatelné jsou pouze neinvestiční náklady projektu.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lastRenderedPageBreak/>
        <w:t>Pokud celková požadovaná částka všech žádostí o dotaci přesáhne výši schválených prostředků v rozpočtu města, bude procentuální podíl dotací u všech projektů adekvátně snížen.</w:t>
      </w:r>
    </w:p>
    <w:p w:rsidR="00216C32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Realizace projektu byla zahájena nejdříve ode dne 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1. 1. 20</w:t>
      </w:r>
      <w:r w:rsidR="00E669DD">
        <w:rPr>
          <w:rFonts w:ascii="Tahoma" w:hAnsi="Tahoma" w:cs="Tahoma"/>
          <w:b/>
          <w:bCs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 xml:space="preserve">, projekt bude ukončen nejpozději do 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3</w:t>
      </w:r>
      <w:r w:rsidR="009A56DC">
        <w:rPr>
          <w:rFonts w:ascii="Tahoma" w:hAnsi="Tahoma" w:cs="Tahoma"/>
          <w:b/>
          <w:bCs/>
          <w:noProof/>
          <w:sz w:val="21"/>
          <w:szCs w:val="21"/>
        </w:rPr>
        <w:t>0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. 1</w:t>
      </w:r>
      <w:r w:rsidR="009A56DC">
        <w:rPr>
          <w:rFonts w:ascii="Tahoma" w:hAnsi="Tahoma" w:cs="Tahoma"/>
          <w:b/>
          <w:bCs/>
          <w:noProof/>
          <w:sz w:val="21"/>
          <w:szCs w:val="21"/>
        </w:rPr>
        <w:t>1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. 20</w:t>
      </w:r>
      <w:r w:rsidR="00E669DD">
        <w:rPr>
          <w:rFonts w:ascii="Tahoma" w:hAnsi="Tahoma" w:cs="Tahoma"/>
          <w:b/>
          <w:bCs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EC6E5F" w:rsidRDefault="00EC6E5F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EC6E5F">
        <w:rPr>
          <w:rFonts w:ascii="Tahoma" w:hAnsi="Tahoma" w:cs="Tahoma"/>
          <w:noProof/>
          <w:sz w:val="21"/>
          <w:szCs w:val="21"/>
        </w:rPr>
        <w:t>Pokud poskytnutí dotace u konkrétního žadatele naplní definiční znaky veřejné podpory, bude dotace poskytnuta v režimu de minimis (dle Nařízení komis</w:t>
      </w:r>
      <w:r w:rsidR="00B16F4C">
        <w:rPr>
          <w:rFonts w:ascii="Tahoma" w:hAnsi="Tahoma" w:cs="Tahoma"/>
          <w:noProof/>
          <w:sz w:val="21"/>
          <w:szCs w:val="21"/>
        </w:rPr>
        <w:t>e (EU) č. 1407/2013 ze  dne 18. </w:t>
      </w:r>
      <w:bookmarkStart w:id="0" w:name="_GoBack"/>
      <w:bookmarkEnd w:id="0"/>
      <w:r w:rsidRPr="00EC6E5F">
        <w:rPr>
          <w:rFonts w:ascii="Tahoma" w:hAnsi="Tahoma" w:cs="Tahoma"/>
          <w:noProof/>
          <w:sz w:val="21"/>
          <w:szCs w:val="21"/>
        </w:rPr>
        <w:t xml:space="preserve">prosince 2013 o použití článků 107 a 108 Smlouvy o fungování Evropské unie na podporu de minimis). Za tím účelem je žadatel vyjma fyzické osoby povinen k žádosti doložit Čestné prohlášení žadatele o podporu v režimu de minimis dle přílohy č. </w:t>
      </w:r>
      <w:r>
        <w:rPr>
          <w:rFonts w:ascii="Tahoma" w:hAnsi="Tahoma" w:cs="Tahoma"/>
          <w:noProof/>
          <w:sz w:val="21"/>
          <w:szCs w:val="21"/>
        </w:rPr>
        <w:t>8</w:t>
      </w:r>
      <w:r w:rsidRPr="00EC6E5F">
        <w:rPr>
          <w:rFonts w:ascii="Tahoma" w:hAnsi="Tahoma" w:cs="Tahoma"/>
          <w:noProof/>
          <w:sz w:val="21"/>
          <w:szCs w:val="21"/>
        </w:rPr>
        <w:t xml:space="preserve"> podmínek</w:t>
      </w:r>
      <w:r>
        <w:rPr>
          <w:rFonts w:ascii="Tahoma" w:hAnsi="Tahoma" w:cs="Tahoma"/>
          <w:noProof/>
          <w:sz w:val="21"/>
          <w:szCs w:val="21"/>
        </w:rPr>
        <w:t xml:space="preserve"> programu</w:t>
      </w:r>
      <w:r w:rsidRPr="00EC6E5F">
        <w:rPr>
          <w:rFonts w:ascii="Tahoma" w:hAnsi="Tahoma" w:cs="Tahoma"/>
          <w:noProof/>
          <w:sz w:val="21"/>
          <w:szCs w:val="21"/>
        </w:rPr>
        <w:t>.</w:t>
      </w:r>
    </w:p>
    <w:p w:rsidR="00EC6E5F" w:rsidRPr="00A25588" w:rsidRDefault="00EC6E5F" w:rsidP="00EC6E5F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VI. Uznatelné náklady projektu</w:t>
      </w:r>
    </w:p>
    <w:p w:rsidR="00216C32" w:rsidRPr="00A25588" w:rsidRDefault="00216C32" w:rsidP="00216C32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i/>
          <w:iCs/>
          <w:noProof/>
          <w:sz w:val="21"/>
          <w:szCs w:val="21"/>
        </w:rPr>
        <w:t>Uznatelný náklad projektu</w:t>
      </w:r>
      <w:r w:rsidRPr="00A25588">
        <w:rPr>
          <w:rFonts w:ascii="Tahoma" w:hAnsi="Tahoma" w:cs="Tahoma"/>
          <w:noProof/>
          <w:sz w:val="21"/>
          <w:szCs w:val="21"/>
        </w:rPr>
        <w:t xml:space="preserve"> je náklad, který splňuje současně všechny níže uvedené podmínky: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byl vynaložen v souladu s podmínkami smlouvy a podmínkami vyhlášeného dotačního programu,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vznikl příjemci v období realizace projektu,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byl příjemcem uhrazen v období realizace projektu.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Z prostředků dotace lze hradit zejména tyto stavební úpravy nemovitosti: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Statické zajištění nemovitosti v nezbytném rozsahu.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Výměna střešní krytiny, popř. prvků střešní konstrukce.</w:t>
      </w:r>
    </w:p>
    <w:p w:rsidR="00216C32" w:rsidRPr="00A25588" w:rsidRDefault="00216C32" w:rsidP="00E669DD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Obnova fasády (okapy, římsy, atika, mříže, označení provozoven, popř. další estetické prvky</w:t>
      </w:r>
      <w:r w:rsidR="00E669DD">
        <w:rPr>
          <w:rFonts w:ascii="Tahoma" w:hAnsi="Tahoma" w:cs="Tahoma"/>
          <w:noProof/>
          <w:sz w:val="21"/>
          <w:szCs w:val="21"/>
        </w:rPr>
        <w:t xml:space="preserve"> </w:t>
      </w:r>
      <w:r w:rsidRPr="00A25588">
        <w:rPr>
          <w:rFonts w:ascii="Tahoma" w:hAnsi="Tahoma" w:cs="Tahoma"/>
          <w:noProof/>
          <w:sz w:val="21"/>
          <w:szCs w:val="21"/>
        </w:rPr>
        <w:t>vnější fasády, atd.).</w:t>
      </w:r>
    </w:p>
    <w:p w:rsidR="00216C32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Výměna výplní vnějších otvorů (okna, dveře, výklady).</w:t>
      </w:r>
    </w:p>
    <w:p w:rsidR="00E669DD" w:rsidRDefault="00E669DD" w:rsidP="00E669DD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</w:r>
      <w:r w:rsidR="00CB33BF" w:rsidRPr="00F45048">
        <w:rPr>
          <w:rFonts w:ascii="Tahoma" w:hAnsi="Tahoma" w:cs="Tahoma"/>
          <w:noProof/>
          <w:sz w:val="21"/>
          <w:szCs w:val="21"/>
        </w:rPr>
        <w:t>Výměna vývěsních štítů, označení provozovny a reklamy na budově</w:t>
      </w:r>
      <w:r w:rsidR="00CB33BF">
        <w:rPr>
          <w:rFonts w:ascii="Tahoma" w:hAnsi="Tahoma" w:cs="Tahoma"/>
          <w:noProof/>
          <w:sz w:val="21"/>
          <w:szCs w:val="21"/>
        </w:rPr>
        <w:t>.</w:t>
      </w:r>
    </w:p>
    <w:p w:rsidR="00E669DD" w:rsidRDefault="00E669DD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i/>
          <w:iCs/>
          <w:noProof/>
          <w:sz w:val="21"/>
          <w:szCs w:val="21"/>
        </w:rPr>
        <w:t xml:space="preserve">Neuznatelné náklady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 rámci projektu nelze uznat: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modernizace objektů - zateplování, vytápění, elektroinstalace, rozvody vody, splašková kanalizace, plynofikace, vzduchotechnika, sanitární technika, výplně otvorů z plastu, nebo typu EURO (okna, dveře, výkladce), </w:t>
      </w:r>
      <w:r w:rsidR="00661D51">
        <w:rPr>
          <w:rFonts w:ascii="Tahoma" w:hAnsi="Tahoma" w:cs="Tahoma"/>
          <w:noProof/>
          <w:sz w:val="21"/>
          <w:szCs w:val="21"/>
        </w:rPr>
        <w:t xml:space="preserve">izolační dvojskla a trojskla, </w:t>
      </w:r>
      <w:r w:rsidRPr="00A25588">
        <w:rPr>
          <w:rFonts w:ascii="Tahoma" w:hAnsi="Tahoma" w:cs="Tahoma"/>
          <w:noProof/>
          <w:sz w:val="21"/>
          <w:szCs w:val="21"/>
        </w:rPr>
        <w:t>protipožární okna, dveře a stěny;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hromosvody (pokud nejsou součástí obnov střešní krytiny), izolační střešní folie apod.;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nástavby a přístavby objektů, půdní vestavby, provizorní úpravy objektů (např. provizorní zakrytí střech);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protiradonová opatření;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lastRenderedPageBreak/>
        <w:t>čištění a úklid budov;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left" w:pos="709"/>
          <w:tab w:val="num" w:pos="1080"/>
          <w:tab w:val="num" w:pos="1134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pronájem lešení;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stavebně-historické a restaurátorské průzkumy, záměry, zprávy, projektové dokumentace;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náklady na stavební/autorský dozor;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  <w:tab w:val="num" w:pos="1134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úpravy veřejných prostranství (cesty, ulice, chodníky), terénní úpravy, sadové a parkové  úpravy zeleně;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    kopie sochařských děl a výdusky;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archeologie;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    veškeré vedlejší rozpočtové náklady (vyjma zařízení staveniště do 3,5 %);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položka v rozpočtu – rezerva; 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režijní náklady, cestovné, dopravné, revize, náklady za ubytování, koordinační činnost, zábory veřejného prostranství;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DPH u příjemce dotace, který </w:t>
      </w:r>
      <w:r w:rsidR="00500255">
        <w:rPr>
          <w:rFonts w:ascii="Tahoma" w:hAnsi="Tahoma" w:cs="Tahoma"/>
          <w:noProof/>
          <w:sz w:val="21"/>
          <w:szCs w:val="21"/>
        </w:rPr>
        <w:t>je plátcem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VII.  Vymezení okruhu žadatelů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Oprávnění žadatelé o dotaci jsou vlastníci kulturních památek, nacházejících se na území statutárního města Frýdku-Místku a objektů v MPZ.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VIII.  Podmínky použití dotace</w:t>
      </w:r>
    </w:p>
    <w:p w:rsidR="00216C32" w:rsidRPr="00A25588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Dotaci lze použít pouze na úhradu účelově určených uznatelných nákladů v souladu s obsahem projektu, smlouvou, podmínkami tohoto programu a strukturou položkového rozpočtu, za podmínek dodržení všech závazných ukazatelů. Závazný ukazatel je finanční, časový či jinak specifikovaný ukazatel jako závazný označený poskytovatelem ve vyhlášeném programu nebo ve smlouvě, jehož dodržení a splnění je pro příjemce po celou dobu realizace projektu závazné.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noProof/>
          <w:sz w:val="21"/>
          <w:szCs w:val="21"/>
        </w:rPr>
        <w:t xml:space="preserve">Závaznými ukazateli jsou: 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Objekt je zapsán v Ústředním seznamu kulturních památek ČR a nachází se na území statutárního města Frýdku-Místku, a nebo se jedná o objekt nacházející se na území MPZ.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Obnova musí probíhat podle zákona číslo 20/1987 Sb., o státní památkové péči a zákona č. 183/2006 Sb., o územním plánování a stavebním řádu (stavební zákon), oba ve znění pozdějších předpisů.</w:t>
      </w:r>
    </w:p>
    <w:p w:rsidR="00216C32" w:rsidRPr="00A25588" w:rsidRDefault="00216C32" w:rsidP="00216C32">
      <w:pPr>
        <w:numPr>
          <w:ilvl w:val="0"/>
          <w:numId w:val="7"/>
        </w:numPr>
        <w:tabs>
          <w:tab w:val="left" w:pos="567"/>
        </w:tabs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Obnova (nebo její etapa) musí být dostatečně připravena tak, aby mohla být provedena v roce 20</w:t>
      </w:r>
      <w:r w:rsidR="007B0CA1">
        <w:rPr>
          <w:rFonts w:ascii="Tahoma" w:hAnsi="Tahoma" w:cs="Tahoma"/>
          <w:b/>
          <w:bCs/>
          <w:i/>
          <w:iCs/>
          <w:noProof/>
          <w:sz w:val="21"/>
          <w:szCs w:val="21"/>
        </w:rPr>
        <w:t>20</w:t>
      </w: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Připravenost akce (datum vydání závazného stanoviska orgánu státní památkové péče a datum vydání stavebního povolení nebo ohlášení stavebních úprav).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lastRenderedPageBreak/>
        <w:t>Akce obnovy většího rozsahu (s celkovými ročními náklady nad 1 milion Kč) musí být doložena propočtem (odhadem nákladů), jinak nebude započtena.</w:t>
      </w:r>
    </w:p>
    <w:p w:rsidR="00216C32" w:rsidRPr="00A25588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Realizace projektu ani dotace není převoditelná na jiný právní subjekt. Příjemce je povinen projekt realizovat vlastním jménem, na vlastní účet a na vlastní odpovědnost.</w:t>
      </w:r>
    </w:p>
    <w:p w:rsidR="00216C32" w:rsidRPr="00A25588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Realizace celého projektu, včetně použití dotace, musí příjemce sledovat v účetní evidenci a členit v souladu s nákladovou strukturou rozpočtu projektu. Tato evidence musí být podložena účetními doklady ve smyslu zákona č. 563/1991 Sb., o účetnictví, v platném znění.</w:t>
      </w:r>
    </w:p>
    <w:p w:rsidR="00216C32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Čestné prohlášení příjemce o vynaložení finančních prostředků v rámci realizace projektu není považováno za účetní doklad.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IX.  Lokalizace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iCs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Příjemci dotace musí projekt realizovat na území statutárního města Frýdku-Místku.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X. Předkládání žádosti o dotace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Žadatel předkládá žádost, kterou tvoří: 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žádost o poskytnutí dotace - obecná část, projektová část a položkový rozpočet projektu (příloha č. 1);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stanovisko orgánu státní památkové péče podle ustanovení § 14 zákona číslo 20/1987 Sb., o státní památkové péči, ve znění pozdějších předpisů;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stavební povolení, případně ohlášení stavebních úprav (pokud to charakter prací vyžaduje) nebo sdělení stavebního úřadu, že záměr nepodléhá režimu stavebního zákona;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smlouva o dílo, obsahující specifikaci druhu a rozsahu prací + rozpočet, ke kterým se váže žádost o příspěvek, přičemž termín provedení prací, případně etapy prací, musí být shodný s rokem, pro který je žádost podána;  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fotodokumentace současného technického stavu objektu, nebo jeho části, ke které se váže žádost o příspěvek;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kopie smlouvy o zřízení běžného účtu u peněžního ústavu nebo písemné potvrzení peněžního ústavu o vedení běžného účtu žadatele;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čestné prohlášení, zda žadatel je či není plátcem DPH (příloha č. 6);</w:t>
      </w:r>
    </w:p>
    <w:p w:rsidR="00F4504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plná moc (příloha č. 2) v případě, že žádost podává jen jeden ze spoluvlastníků</w:t>
      </w:r>
      <w:r w:rsidR="00F45048" w:rsidRPr="00A25588">
        <w:rPr>
          <w:rFonts w:ascii="Tahoma" w:hAnsi="Tahoma" w:cs="Tahoma"/>
          <w:noProof/>
          <w:sz w:val="21"/>
          <w:szCs w:val="21"/>
        </w:rPr>
        <w:t>;</w:t>
      </w:r>
    </w:p>
    <w:p w:rsidR="006B2467" w:rsidRDefault="00F45048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8341F0">
        <w:rPr>
          <w:rFonts w:ascii="Tahoma" w:hAnsi="Tahoma" w:cs="Tahoma"/>
          <w:noProof/>
          <w:sz w:val="21"/>
          <w:szCs w:val="21"/>
        </w:rPr>
        <w:t xml:space="preserve">souhlas s ověřením bezdlužnosti </w:t>
      </w:r>
      <w:r w:rsidRPr="00CB30B2">
        <w:rPr>
          <w:rFonts w:ascii="Tahoma" w:hAnsi="Tahoma" w:cs="Tahoma"/>
          <w:noProof/>
          <w:sz w:val="21"/>
          <w:szCs w:val="21"/>
        </w:rPr>
        <w:t>(příloha č. 7</w:t>
      </w:r>
      <w:r w:rsidRPr="00CD0811">
        <w:rPr>
          <w:rFonts w:ascii="Tahoma" w:hAnsi="Tahoma" w:cs="Tahoma"/>
          <w:noProof/>
          <w:sz w:val="21"/>
          <w:szCs w:val="21"/>
        </w:rPr>
        <w:t>)</w:t>
      </w:r>
      <w:r w:rsidR="006B2467" w:rsidRPr="006B2467">
        <w:rPr>
          <w:rFonts w:ascii="Tahoma" w:hAnsi="Tahoma" w:cs="Tahoma"/>
          <w:noProof/>
          <w:sz w:val="21"/>
          <w:szCs w:val="21"/>
        </w:rPr>
        <w:t xml:space="preserve"> </w:t>
      </w:r>
      <w:r w:rsidR="006B2467"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A25588" w:rsidRDefault="006B2467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č</w:t>
      </w:r>
      <w:r w:rsidRPr="006B2467">
        <w:rPr>
          <w:rFonts w:ascii="Tahoma" w:hAnsi="Tahoma" w:cs="Tahoma"/>
          <w:noProof/>
          <w:sz w:val="21"/>
          <w:szCs w:val="21"/>
        </w:rPr>
        <w:t xml:space="preserve">estné prohlášení žadatele o dotaci v režimu de minimis – (příloha č. </w:t>
      </w:r>
      <w:r>
        <w:rPr>
          <w:rFonts w:ascii="Tahoma" w:hAnsi="Tahoma" w:cs="Tahoma"/>
          <w:noProof/>
          <w:sz w:val="21"/>
          <w:szCs w:val="21"/>
        </w:rPr>
        <w:t>8</w:t>
      </w:r>
      <w:r w:rsidRPr="006B2467">
        <w:rPr>
          <w:rFonts w:ascii="Tahoma" w:hAnsi="Tahoma" w:cs="Tahoma"/>
          <w:noProof/>
          <w:sz w:val="21"/>
          <w:szCs w:val="21"/>
        </w:rPr>
        <w:t>) – povinná příloha v případě, že žadatelem je fyzická osoba podnikající nebo právnická osoba</w:t>
      </w:r>
      <w:r w:rsidR="00216C32"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Žadatel o dotac</w:t>
      </w:r>
      <w:r w:rsidR="00F45048">
        <w:rPr>
          <w:rFonts w:ascii="Tahoma" w:hAnsi="Tahoma" w:cs="Tahoma"/>
          <w:noProof/>
          <w:sz w:val="21"/>
          <w:szCs w:val="21"/>
        </w:rPr>
        <w:t>i předkládá svou žádost písemně</w:t>
      </w:r>
      <w:r w:rsidRPr="00A25588">
        <w:rPr>
          <w:rFonts w:ascii="Tahoma" w:hAnsi="Tahoma" w:cs="Tahoma"/>
          <w:noProof/>
          <w:sz w:val="21"/>
          <w:szCs w:val="21"/>
        </w:rPr>
        <w:t xml:space="preserve">. 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Žádost o dotaci spolu se všemi vyplněnými přílohami v jednom podepsaném originále lze podat prostřednictvím provozovatele poštovních služeb nebo osobně na podatelně Magistrátu města Frýdku-Místku na tuto adresu: </w:t>
      </w:r>
    </w:p>
    <w:p w:rsidR="00216C32" w:rsidRPr="00A25588" w:rsidRDefault="00216C32" w:rsidP="00216C32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</w:p>
    <w:p w:rsidR="00216C32" w:rsidRPr="00A25588" w:rsidRDefault="00216C32" w:rsidP="00216C32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noProof/>
          <w:sz w:val="21"/>
          <w:szCs w:val="21"/>
        </w:rPr>
        <w:t>Statutární město Frýdek-Místek</w:t>
      </w:r>
    </w:p>
    <w:p w:rsidR="00216C32" w:rsidRDefault="00216C32" w:rsidP="006B2467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noProof/>
          <w:sz w:val="21"/>
          <w:szCs w:val="21"/>
        </w:rPr>
        <w:t>odbor územního rozvoje a stavebního řádu</w:t>
      </w:r>
      <w:r w:rsidRPr="00A25588">
        <w:rPr>
          <w:rFonts w:ascii="Tahoma" w:hAnsi="Tahoma" w:cs="Tahoma"/>
          <w:noProof/>
          <w:sz w:val="21"/>
          <w:szCs w:val="21"/>
        </w:rPr>
        <w:br/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Radniční 1148</w:t>
      </w:r>
      <w:r w:rsidRPr="00A25588">
        <w:rPr>
          <w:rFonts w:ascii="Tahoma" w:hAnsi="Tahoma" w:cs="Tahoma"/>
          <w:noProof/>
          <w:sz w:val="21"/>
          <w:szCs w:val="21"/>
        </w:rPr>
        <w:br/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738 22 Frýdek-Místek</w:t>
      </w:r>
    </w:p>
    <w:p w:rsidR="00B30F32" w:rsidRPr="006B2467" w:rsidRDefault="00B30F32" w:rsidP="006B2467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Z dalšího posuzování budou vyloučeny žádosti předložené vyhlašovateli:</w:t>
      </w:r>
      <w:r w:rsidRPr="00A25588">
        <w:rPr>
          <w:rFonts w:ascii="Tahoma" w:hAnsi="Tahoma" w:cs="Tahoma"/>
          <w:noProof/>
          <w:sz w:val="21"/>
          <w:szCs w:val="21"/>
        </w:rPr>
        <w:t xml:space="preserve"> 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v rozporu s tímto programem</w:t>
      </w:r>
      <w:r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jakýmkoli jiným způsobem (např. faxem nebo e-mailem)</w:t>
      </w:r>
      <w:r w:rsidRPr="00A25588">
        <w:rPr>
          <w:rFonts w:ascii="Tahoma" w:hAnsi="Tahoma" w:cs="Tahoma"/>
          <w:noProof/>
          <w:sz w:val="21"/>
          <w:szCs w:val="21"/>
        </w:rPr>
        <w:t xml:space="preserve"> 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doručené na jiné adresy nebo neobsahující náležitosti dle bodu X. 1. odstavec a) až d)</w:t>
      </w:r>
      <w:r w:rsidRPr="00A25588">
        <w:rPr>
          <w:rFonts w:ascii="Tahoma" w:hAnsi="Tahoma" w:cs="Tahoma"/>
          <w:noProof/>
          <w:sz w:val="21"/>
          <w:szCs w:val="21"/>
        </w:rPr>
        <w:t xml:space="preserve"> 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mimo lhůtu pro předložení žádosti</w:t>
      </w:r>
      <w:r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nepodepsané osobou oprávněnou jednat za žadatele</w:t>
      </w:r>
      <w:r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483582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v případě, že žadatel bude mít k termínu podání žádosti vůči poskytovateli neuhrazené finan</w:t>
      </w:r>
      <w:r w:rsidR="00F45048">
        <w:rPr>
          <w:rFonts w:ascii="Tahoma" w:hAnsi="Tahoma" w:cs="Tahoma"/>
          <w:bCs/>
          <w:noProof/>
          <w:sz w:val="21"/>
          <w:szCs w:val="21"/>
        </w:rPr>
        <w:t>ční závazky po lhůtě splatnosti.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Pokud bude žádost podaná v souladu s bodem X. vykazovat jiné nedostatky, vyzve poskytovatel žadatele k jejich odstranění v náhradním termínu. K odstranění nedostatků žádosti budou žadatelé vyzváni písemně nebo e-mailem. Opravené  nebo chybějící dokumenty musí být na Magistrát města doručeny nejpozději do 5 pracovních dnů ode dne zaslání výzvy administrátorem, a to e-mailem, poštou nebo doručeny osobně na podatelnu Magistrátu města Frýdku-Místku. Pokud tak žadatel neučiní, bude jeho žádost z hodnocení vyloučena.</w:t>
      </w:r>
    </w:p>
    <w:p w:rsidR="00216C32" w:rsidRPr="009A56DC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Všechny došlé žádosti včetně jejich příloh se archivují a žadatelům se nevracejí.</w:t>
      </w:r>
    </w:p>
    <w:p w:rsidR="00A02318" w:rsidRDefault="00A02318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XI.  Lhůta pro podání žádosti, kontaktní osoba a lhůta pro rozhodnutí o žádosti</w:t>
      </w:r>
    </w:p>
    <w:p w:rsidR="00216C32" w:rsidRPr="00A25588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A25588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483582" w:rsidRPr="00F45048">
        <w:rPr>
          <w:rFonts w:ascii="Tahoma" w:hAnsi="Tahoma" w:cs="Tahoma"/>
          <w:b/>
          <w:noProof/>
          <w:sz w:val="21"/>
          <w:szCs w:val="21"/>
        </w:rPr>
        <w:t>2</w:t>
      </w:r>
      <w:r w:rsidRPr="00F45048">
        <w:rPr>
          <w:rFonts w:ascii="Tahoma" w:hAnsi="Tahoma" w:cs="Tahoma"/>
          <w:b/>
          <w:noProof/>
          <w:sz w:val="21"/>
          <w:szCs w:val="21"/>
        </w:rPr>
        <w:t>5.10</w:t>
      </w:r>
      <w:r w:rsidRPr="00A25588">
        <w:rPr>
          <w:rFonts w:ascii="Tahoma" w:hAnsi="Tahoma" w:cs="Tahoma"/>
          <w:b/>
          <w:noProof/>
          <w:sz w:val="21"/>
          <w:szCs w:val="21"/>
        </w:rPr>
        <w:t>.201</w:t>
      </w:r>
      <w:r w:rsidR="00483582">
        <w:rPr>
          <w:rFonts w:ascii="Tahoma" w:hAnsi="Tahoma" w:cs="Tahoma"/>
          <w:b/>
          <w:noProof/>
          <w:sz w:val="21"/>
          <w:szCs w:val="21"/>
        </w:rPr>
        <w:t>9</w:t>
      </w:r>
      <w:r w:rsidRPr="00A25588">
        <w:rPr>
          <w:rFonts w:ascii="Tahoma" w:hAnsi="Tahoma" w:cs="Tahoma"/>
          <w:noProof/>
          <w:sz w:val="21"/>
          <w:szCs w:val="21"/>
        </w:rPr>
        <w:t xml:space="preserve"> 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do 12.12.201</w:t>
      </w:r>
      <w:r w:rsidR="00483582">
        <w:rPr>
          <w:rFonts w:ascii="Tahoma" w:hAnsi="Tahoma" w:cs="Tahoma"/>
          <w:b/>
          <w:bCs/>
          <w:noProof/>
          <w:sz w:val="21"/>
          <w:szCs w:val="21"/>
        </w:rPr>
        <w:t>9</w:t>
      </w:r>
      <w:r w:rsidRPr="00A25588">
        <w:rPr>
          <w:rFonts w:ascii="Tahoma" w:hAnsi="Tahoma" w:cs="Tahoma"/>
          <w:noProof/>
          <w:sz w:val="21"/>
          <w:szCs w:val="21"/>
        </w:rPr>
        <w:t xml:space="preserve"> včetně. Byla-li žádost podána prostřednictvím provozovatele poštovních služeb, je lhůta zachována, byla-li v poslední den lhůty převzata zásilka s žádostí k poštovní přepravě.</w:t>
      </w:r>
    </w:p>
    <w:p w:rsidR="00216C32" w:rsidRPr="009A56DC" w:rsidRDefault="00216C32" w:rsidP="009A56DC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Poskytování dotací organizuje odbor územního rozvoje a stavebního řádu Magistrátu města Frýdku-Místku, Radniční 1148, 738 22 Frýdek-Místek.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Kontaktní osoba (administrátor) je:</w:t>
      </w:r>
    </w:p>
    <w:p w:rsidR="00216C32" w:rsidRPr="00A25588" w:rsidRDefault="00216C32" w:rsidP="00A02318">
      <w:pPr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Ing. Eva Čubová</w:t>
      </w:r>
    </w:p>
    <w:p w:rsidR="00216C32" w:rsidRPr="00A25588" w:rsidRDefault="00216C32" w:rsidP="00A02318">
      <w:pPr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tel.: 558 609 272</w:t>
      </w:r>
    </w:p>
    <w:p w:rsidR="00216C32" w:rsidRPr="00A25588" w:rsidRDefault="00216C32" w:rsidP="00A02318">
      <w:pPr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mobil: 777 921 381</w:t>
      </w:r>
    </w:p>
    <w:p w:rsidR="00216C32" w:rsidRDefault="00216C32" w:rsidP="00A02318">
      <w:pPr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e-mail: </w:t>
      </w:r>
      <w:hyperlink r:id="rId7" w:history="1">
        <w:r w:rsidRPr="00A25588">
          <w:rPr>
            <w:rStyle w:val="Hypertextovodkaz"/>
            <w:rFonts w:ascii="Tahoma" w:hAnsi="Tahoma" w:cs="Tahoma"/>
            <w:noProof/>
            <w:sz w:val="21"/>
            <w:szCs w:val="21"/>
          </w:rPr>
          <w:t>cubova.eva@frydekmistek.cz</w:t>
        </w:r>
      </w:hyperlink>
      <w:r w:rsidRPr="00A25588">
        <w:rPr>
          <w:rFonts w:ascii="Tahoma" w:hAnsi="Tahoma" w:cs="Tahoma"/>
          <w:noProof/>
          <w:sz w:val="21"/>
          <w:szCs w:val="21"/>
        </w:rPr>
        <w:t xml:space="preserve"> </w:t>
      </w:r>
    </w:p>
    <w:p w:rsidR="00A02318" w:rsidRPr="00A25588" w:rsidRDefault="00A02318" w:rsidP="00A02318">
      <w:pPr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 xml:space="preserve">Kompletní informace související s programem včetně formulářů lze získat na webových stránkách města </w:t>
      </w:r>
      <w:hyperlink r:id="rId8" w:history="1">
        <w:r w:rsidRPr="00A25588">
          <w:rPr>
            <w:rStyle w:val="Hypertextovodkaz"/>
            <w:rFonts w:ascii="Tahoma" w:hAnsi="Tahoma" w:cs="Tahoma"/>
            <w:b/>
            <w:noProof/>
            <w:sz w:val="21"/>
            <w:szCs w:val="21"/>
          </w:rPr>
          <w:t>www.frydekmistek.cz</w:t>
        </w:r>
      </w:hyperlink>
      <w:r w:rsidRPr="00A25588">
        <w:rPr>
          <w:rFonts w:ascii="Tahoma" w:hAnsi="Tahoma" w:cs="Tahoma"/>
          <w:b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Zastupitelstvo města rozhodne o poskytnutí dotace na předložené projekty a o neposkytnutí dotace neúspěšným žadatelům nejpozději do 30.06.20</w:t>
      </w:r>
      <w:r w:rsidR="00483582">
        <w:rPr>
          <w:rFonts w:ascii="Tahoma" w:hAnsi="Tahoma" w:cs="Tahoma"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Výsledky rozhodnutí zastupitelstva města budou uveřejněny na webových stránkách města do 10 kalendářních dnů od rozhodnutí zastupitelstva města. S žadateli, jimž budou dotační </w:t>
      </w:r>
      <w:r w:rsidRPr="00A25588">
        <w:rPr>
          <w:rFonts w:ascii="Tahoma" w:hAnsi="Tahoma" w:cs="Tahoma"/>
          <w:noProof/>
          <w:sz w:val="21"/>
          <w:szCs w:val="21"/>
        </w:rPr>
        <w:lastRenderedPageBreak/>
        <w:t xml:space="preserve">prostředky zastupitelstvem města schváleny, uzavře město smlouvu o poskytnutí dotace z rozpočtu města v souladu s platnými obecně závaznými právními předpisy.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 xml:space="preserve">XII.  Závěrečné </w:t>
      </w:r>
      <w:r w:rsidR="00CB30B2">
        <w:rPr>
          <w:rFonts w:ascii="Tahoma" w:hAnsi="Tahoma" w:cs="Tahoma"/>
          <w:b/>
          <w:noProof/>
          <w:sz w:val="21"/>
          <w:szCs w:val="21"/>
        </w:rPr>
        <w:t>finanční vypořádání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Po ukončení realizace projektu je příjemce povinen zpracovat a předložit poskytovateli závěrečné </w:t>
      </w:r>
      <w:r w:rsidR="00CB30B2">
        <w:rPr>
          <w:rFonts w:ascii="Tahoma" w:hAnsi="Tahoma" w:cs="Tahoma"/>
          <w:noProof/>
          <w:sz w:val="21"/>
          <w:szCs w:val="21"/>
        </w:rPr>
        <w:t>finanční 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celého realizovaného projektu do termínu uvedeného ve smlouvě. Při </w:t>
      </w:r>
      <w:r w:rsidR="00CB30B2">
        <w:rPr>
          <w:rFonts w:ascii="Tahoma" w:hAnsi="Tahoma" w:cs="Tahoma"/>
          <w:noProof/>
          <w:sz w:val="21"/>
          <w:szCs w:val="21"/>
        </w:rPr>
        <w:t>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dotace se bude příjemce dotace řídit ustanoveními smlouvy o poskytnutí dotace. Závěrečné </w:t>
      </w:r>
      <w:r w:rsidR="00CB30B2">
        <w:rPr>
          <w:rFonts w:ascii="Tahoma" w:hAnsi="Tahoma" w:cs="Tahoma"/>
          <w:noProof/>
          <w:sz w:val="21"/>
          <w:szCs w:val="21"/>
        </w:rPr>
        <w:t>finanční 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musí být zpracováno na formulářích předepsaných pro tento vyhlášený program (příloha č. 3, 4 a 5).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Kontrola použití dotace</w:t>
      </w:r>
    </w:p>
    <w:p w:rsidR="00216C32" w:rsidRPr="00A25588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závěrečného </w:t>
      </w:r>
      <w:r w:rsidR="00CB30B2">
        <w:rPr>
          <w:rFonts w:ascii="Tahoma" w:hAnsi="Tahoma" w:cs="Tahoma"/>
          <w:noProof/>
          <w:sz w:val="21"/>
          <w:szCs w:val="21"/>
        </w:rPr>
        <w:t>finančního 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bude provedena kontrola: 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formální správnosti;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dodržení účelového určení;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dodržení závazných ukazatelů;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uznatelnosti nákladů v rámci realizace projektu.</w:t>
      </w:r>
    </w:p>
    <w:p w:rsidR="00216C32" w:rsidRPr="00A25588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Neoprávněné použití dotace nebo zadržení dotace bude klasifikováno jako porušení rozpočtové kázně podle § 22 zákona č. 250/2000 Sb., o rozpočtových pravidlech územních rozpočtů, ve znění pozdějších předpisů.</w:t>
      </w:r>
    </w:p>
    <w:p w:rsidR="00216C32" w:rsidRPr="00A25588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Příjemce dotace umožní poskytovateli průběžně monitorovat realizaci projektu, finanční a věcné plnění smlouvy o poskytnutí dotace. Monitorování bude provádět odbor územního rozvoje a stavebního řádu.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na stavbě budou prováděny dle potřeby kontrolní dny (zejména před demontáží lešení, zasypáním konstrukcí, atd.). Výsledkem kontroly bude zápis a fotodokumentace;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vlastník obdrží zápisy a fotodokumentaci z kontrolních dnů. Bude písemně garantovat, že zjištěné nedodělky a vady byly odstraněny;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při nekvalitním zpracování regenerace fasády nebo při nedodržení podmínek použití dotace bude, dle závažnosti, dotace krácena nebo nevyplacena vůbec.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XIII. Výše rozpočtových prostředků</w:t>
      </w:r>
    </w:p>
    <w:p w:rsidR="00216C32" w:rsidRPr="00A25588" w:rsidRDefault="00216C32" w:rsidP="00216C32">
      <w:pPr>
        <w:numPr>
          <w:ilvl w:val="0"/>
          <w:numId w:val="5"/>
        </w:numPr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Pro tento program jsou navrhovány finanční prostředky ve výši 400 000,- Kč. Poskytnutí dotací a jejich konečná výše jsou podmíněny schválením finančních prostředků v rozpočtu SMFM zastupitelstvem města pro rok 20</w:t>
      </w:r>
      <w:r w:rsidR="00F74F58">
        <w:rPr>
          <w:rFonts w:ascii="Tahoma" w:hAnsi="Tahoma" w:cs="Tahoma"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5"/>
        </w:numPr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 případě, že zastupitelstvo města neschválí finanční prostředky pro tento program, nebudou dotace v rámci tohoto programu v roce 20</w:t>
      </w:r>
      <w:r w:rsidR="00F74F58">
        <w:rPr>
          <w:rFonts w:ascii="Tahoma" w:hAnsi="Tahoma" w:cs="Tahoma"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 xml:space="preserve"> poskytnuty.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XIV.  Závěrečná ustanovení</w:t>
      </w:r>
    </w:p>
    <w:p w:rsidR="00216C32" w:rsidRPr="00A25588" w:rsidRDefault="00216C32" w:rsidP="00216C32">
      <w:pPr>
        <w:numPr>
          <w:ilvl w:val="3"/>
          <w:numId w:val="5"/>
        </w:numPr>
        <w:spacing w:after="160" w:line="259" w:lineRule="auto"/>
        <w:ind w:left="426" w:hanging="426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Na poskytnutí dotace není právní nárok. Město si vyhrazuje právo vyhlášený program bez udání důvodu zrušit.</w:t>
      </w:r>
    </w:p>
    <w:p w:rsidR="00216C32" w:rsidRPr="00A25588" w:rsidRDefault="00216C32" w:rsidP="00216C32">
      <w:pPr>
        <w:numPr>
          <w:ilvl w:val="3"/>
          <w:numId w:val="5"/>
        </w:numPr>
        <w:spacing w:after="160" w:line="259" w:lineRule="auto"/>
        <w:ind w:left="426" w:hanging="426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Tento program byl schválen Radou města Frýdek-Místek dne </w:t>
      </w:r>
      <w:r w:rsidR="00F74F58">
        <w:rPr>
          <w:rFonts w:ascii="Tahoma" w:hAnsi="Tahoma" w:cs="Tahoma"/>
          <w:noProof/>
          <w:sz w:val="21"/>
          <w:szCs w:val="21"/>
        </w:rPr>
        <w:t>24</w:t>
      </w:r>
      <w:r w:rsidRPr="00A25588">
        <w:rPr>
          <w:rFonts w:ascii="Tahoma" w:hAnsi="Tahoma" w:cs="Tahoma"/>
          <w:noProof/>
          <w:sz w:val="21"/>
          <w:szCs w:val="21"/>
        </w:rPr>
        <w:t>.09.201</w:t>
      </w:r>
      <w:r w:rsidR="00F74F58">
        <w:rPr>
          <w:rFonts w:ascii="Tahoma" w:hAnsi="Tahoma" w:cs="Tahoma"/>
          <w:noProof/>
          <w:sz w:val="21"/>
          <w:szCs w:val="21"/>
        </w:rPr>
        <w:t>9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Seznam příloh dotačního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Příloha č. 1 - Žádost o poskytnutí dotace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 2 – Plná moc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 3 - Vyúčtování dotace z Programu regenerace SMFM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 4 - Soupis účetních dokladů 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 5 - Oznámení o vrácení nevyčerpaných finančních prostředků</w:t>
      </w:r>
    </w:p>
    <w:p w:rsidR="00216C32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 6 – Čestné prohlášení k</w:t>
      </w:r>
      <w:r w:rsidR="00CB30B2">
        <w:rPr>
          <w:rFonts w:ascii="Tahoma" w:hAnsi="Tahoma" w:cs="Tahoma"/>
          <w:noProof/>
          <w:sz w:val="21"/>
          <w:szCs w:val="21"/>
        </w:rPr>
        <w:t> </w:t>
      </w:r>
      <w:r w:rsidRPr="00A25588">
        <w:rPr>
          <w:rFonts w:ascii="Tahoma" w:hAnsi="Tahoma" w:cs="Tahoma"/>
          <w:noProof/>
          <w:sz w:val="21"/>
          <w:szCs w:val="21"/>
        </w:rPr>
        <w:t>DPH</w:t>
      </w:r>
    </w:p>
    <w:p w:rsidR="00CB30B2" w:rsidRDefault="00CB30B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Příloha č. 7 - S</w:t>
      </w:r>
      <w:r w:rsidRPr="008341F0">
        <w:rPr>
          <w:rFonts w:ascii="Tahoma" w:hAnsi="Tahoma" w:cs="Tahoma"/>
          <w:noProof/>
          <w:sz w:val="21"/>
          <w:szCs w:val="21"/>
        </w:rPr>
        <w:t>ouhlas s ověřením bezdlužnosti</w:t>
      </w:r>
    </w:p>
    <w:p w:rsidR="006B2467" w:rsidRPr="00A25588" w:rsidRDefault="006B2467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Příloha č. 8 - </w:t>
      </w: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 xml:space="preserve">Uvedené formuláře jsou k dispozici na internetové adrese </w:t>
      </w:r>
      <w:hyperlink r:id="rId9" w:history="1">
        <w:r w:rsidRPr="00A25588">
          <w:rPr>
            <w:rStyle w:val="Hypertextovodkaz"/>
            <w:rFonts w:ascii="Tahoma" w:hAnsi="Tahoma" w:cs="Tahoma"/>
            <w:b/>
            <w:noProof/>
            <w:sz w:val="21"/>
            <w:szCs w:val="21"/>
          </w:rPr>
          <w:t>www.frydekmistek.cz</w:t>
        </w:r>
      </w:hyperlink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D45E72" w:rsidRPr="00A25588" w:rsidRDefault="00D45E72">
      <w:pPr>
        <w:rPr>
          <w:rFonts w:ascii="Tahoma" w:hAnsi="Tahoma" w:cs="Tahoma"/>
          <w:sz w:val="21"/>
          <w:szCs w:val="21"/>
        </w:rPr>
      </w:pPr>
    </w:p>
    <w:sectPr w:rsidR="00D45E72" w:rsidRPr="00A2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C38AC"/>
    <w:multiLevelType w:val="multilevel"/>
    <w:tmpl w:val="A98C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0D1324"/>
    <w:multiLevelType w:val="multilevel"/>
    <w:tmpl w:val="AA9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01D92"/>
    <w:multiLevelType w:val="hybridMultilevel"/>
    <w:tmpl w:val="877038BC"/>
    <w:lvl w:ilvl="0" w:tplc="6F00D3B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30DD4"/>
    <w:multiLevelType w:val="hybridMultilevel"/>
    <w:tmpl w:val="86A4C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E3900"/>
    <w:multiLevelType w:val="hybridMultilevel"/>
    <w:tmpl w:val="A5203A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AD7C40"/>
    <w:multiLevelType w:val="hybridMultilevel"/>
    <w:tmpl w:val="0730082A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51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851" w:hanging="284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32"/>
    <w:rsid w:val="000F6D05"/>
    <w:rsid w:val="00216C32"/>
    <w:rsid w:val="00483582"/>
    <w:rsid w:val="00500255"/>
    <w:rsid w:val="00661D51"/>
    <w:rsid w:val="006B2467"/>
    <w:rsid w:val="007B0CA1"/>
    <w:rsid w:val="007B61A2"/>
    <w:rsid w:val="00802459"/>
    <w:rsid w:val="0088550A"/>
    <w:rsid w:val="009A56DC"/>
    <w:rsid w:val="00A02318"/>
    <w:rsid w:val="00A25588"/>
    <w:rsid w:val="00B16F4C"/>
    <w:rsid w:val="00B30F32"/>
    <w:rsid w:val="00CB30B2"/>
    <w:rsid w:val="00CB33BF"/>
    <w:rsid w:val="00D45E72"/>
    <w:rsid w:val="00E669DD"/>
    <w:rsid w:val="00EC6E5F"/>
    <w:rsid w:val="00F45048"/>
    <w:rsid w:val="00F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C32"/>
    <w:rPr>
      <w:b w:val="0"/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58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66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C32"/>
    <w:rPr>
      <w:b w:val="0"/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58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66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ubova.eva@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1993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cubova</cp:lastModifiedBy>
  <cp:revision>14</cp:revision>
  <cp:lastPrinted>2019-09-18T10:55:00Z</cp:lastPrinted>
  <dcterms:created xsi:type="dcterms:W3CDTF">2019-08-26T13:11:00Z</dcterms:created>
  <dcterms:modified xsi:type="dcterms:W3CDTF">2019-09-18T11:02:00Z</dcterms:modified>
</cp:coreProperties>
</file>