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53C9" w14:textId="77777777" w:rsidR="00700737" w:rsidRPr="0030177C" w:rsidRDefault="00700737" w:rsidP="00700737">
      <w:pPr>
        <w:pBdr>
          <w:bottom w:val="single" w:sz="4" w:space="1" w:color="auto"/>
        </w:pBdr>
        <w:spacing w:after="0" w:line="264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  <w:t xml:space="preserve">STATUT A JEDNACÍ ŘÁD  </w:t>
      </w:r>
    </w:p>
    <w:p w14:paraId="665B3630" w14:textId="77777777" w:rsidR="00700737" w:rsidRPr="0030177C" w:rsidRDefault="00700737" w:rsidP="00700737">
      <w:pPr>
        <w:pBdr>
          <w:bottom w:val="single" w:sz="4" w:space="1" w:color="auto"/>
        </w:pBdr>
        <w:spacing w:after="0" w:line="264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  <w:t>KOMISE PRO OBČANSKÉ ZÁLEŽITOSTI</w:t>
      </w:r>
    </w:p>
    <w:p w14:paraId="543AB185" w14:textId="77777777" w:rsidR="00700737" w:rsidRPr="0030177C" w:rsidRDefault="00700737" w:rsidP="00700737">
      <w:pPr>
        <w:pBdr>
          <w:bottom w:val="single" w:sz="4" w:space="1" w:color="auto"/>
        </w:pBdr>
        <w:spacing w:after="0" w:line="264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  <w:t xml:space="preserve"> RADY MĚSTA FRÝDKU-MÍSTKU</w:t>
      </w:r>
    </w:p>
    <w:p w14:paraId="6AB90C3D" w14:textId="77777777" w:rsidR="00700737" w:rsidRPr="0030177C" w:rsidRDefault="00700737" w:rsidP="00700737">
      <w:pPr>
        <w:spacing w:after="0" w:line="240" w:lineRule="auto"/>
        <w:jc w:val="center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</w:p>
    <w:p w14:paraId="58176097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>I.</w:t>
      </w:r>
    </w:p>
    <w:p w14:paraId="13E1784B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>Ustavení komise</w:t>
      </w:r>
    </w:p>
    <w:p w14:paraId="4BD09D40" w14:textId="77777777" w:rsidR="00700737" w:rsidRPr="0030177C" w:rsidRDefault="00700737" w:rsidP="00700737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1D2D8F72" w14:textId="77777777" w:rsidR="00700737" w:rsidRPr="0030177C" w:rsidRDefault="00700737" w:rsidP="0070073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Komise pro občanské záležitosti (dále jen „komise“) byla zřízena usnesením z 1. schůze Rady města Frýdku-Místku (dále jen „rady města“) konané dne 31. 10. 2022 v souladu s ustanovením § 102 odst. 2 písm. h) a § 122 odst. 1 zákona č. 128/2000 Sb., o obcích (obecní zřízení), ve znění pozdějších předpisů, a je radě města ze své činnosti odpovědna.</w:t>
      </w:r>
    </w:p>
    <w:p w14:paraId="77E4D12B" w14:textId="77777777" w:rsidR="00700737" w:rsidRPr="0030177C" w:rsidRDefault="00700737" w:rsidP="0070073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Komise má 9 členů + 5 zástupců z okrajových částí města.  Členové komise se prokazují průkazem člena KPOZ.</w:t>
      </w:r>
    </w:p>
    <w:p w14:paraId="203946C6" w14:textId="77777777" w:rsidR="00700737" w:rsidRPr="0030177C" w:rsidRDefault="00700737" w:rsidP="0070073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sz w:val="21"/>
          <w:szCs w:val="21"/>
          <w:lang w:eastAsia="cs-CZ"/>
        </w:rPr>
        <w:t>Předsedu a členy komise navrhují zastupitelé, politické strany, hnutí a koalice, jmenuje a odvolává je rada města.</w:t>
      </w:r>
    </w:p>
    <w:p w14:paraId="505CDFFD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1609C062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0F26306B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>II.</w:t>
      </w:r>
    </w:p>
    <w:p w14:paraId="471C30EB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>Náplň činnosti komise</w:t>
      </w:r>
    </w:p>
    <w:p w14:paraId="1F8D7C1E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11DF4F16" w14:textId="77777777" w:rsidR="00700737" w:rsidRPr="0030177C" w:rsidRDefault="00700737" w:rsidP="00700737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sz w:val="21"/>
          <w:szCs w:val="21"/>
          <w:lang w:eastAsia="cs-CZ"/>
        </w:rPr>
        <w:t>Komise je iniciativní a poradní orgán rady města v oblasti konání slavnostních akcí a osobních návštěv jubilantů, které se konají např. u příležitosti významných životních jubileí občanů, nově narozených občánků města, jubilejních svateb apod.</w:t>
      </w:r>
    </w:p>
    <w:p w14:paraId="3EE9BDB5" w14:textId="77777777" w:rsidR="00700737" w:rsidRPr="0030177C" w:rsidRDefault="00700737" w:rsidP="00700737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sz w:val="21"/>
          <w:szCs w:val="21"/>
          <w:lang w:eastAsia="cs-CZ"/>
        </w:rPr>
        <w:t>Projednává a zpracovává stanoviska k připomínkám a podnětům občanů a organizací města, které se týkají působnosti komise pro občanské záležitosti.</w:t>
      </w:r>
    </w:p>
    <w:p w14:paraId="281FA3DE" w14:textId="77777777" w:rsidR="00700737" w:rsidRPr="0030177C" w:rsidRDefault="00700737" w:rsidP="00700737">
      <w:pPr>
        <w:numPr>
          <w:ilvl w:val="0"/>
          <w:numId w:val="1"/>
        </w:numPr>
        <w:spacing w:before="120"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sz w:val="21"/>
          <w:szCs w:val="21"/>
          <w:lang w:eastAsia="cs-CZ"/>
        </w:rPr>
        <w:t>Vyjadřuje se k návrhům týkajícím se náplně činnosti komise</w:t>
      </w: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</w:t>
      </w:r>
      <w:r w:rsidRPr="0030177C">
        <w:rPr>
          <w:rFonts w:ascii="Tahoma" w:eastAsia="Times New Roman" w:hAnsi="Tahoma" w:cs="Tahoma"/>
          <w:sz w:val="21"/>
          <w:szCs w:val="21"/>
          <w:lang w:eastAsia="cs-CZ"/>
        </w:rPr>
        <w:t>předkládaným radě města a zastupitelstvu města.</w:t>
      </w:r>
    </w:p>
    <w:p w14:paraId="60DE50B1" w14:textId="77777777" w:rsidR="00700737" w:rsidRPr="0030177C" w:rsidRDefault="00700737" w:rsidP="00700737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sz w:val="21"/>
          <w:szCs w:val="21"/>
          <w:lang w:eastAsia="cs-CZ"/>
        </w:rPr>
        <w:t xml:space="preserve">Členové komise osobně navštěvují občany, kteří mají významné životní události, aktivně spolupracují při konání slavnostních akcí, konaných pro občany města – např. vítání nově narozených občánků, jubilejních svatbách, pořádání koncertů a kulturních akcí pro jubilanty aj. </w:t>
      </w:r>
    </w:p>
    <w:p w14:paraId="4BCA765C" w14:textId="77777777" w:rsidR="00700737" w:rsidRPr="0030177C" w:rsidRDefault="00700737" w:rsidP="00700737">
      <w:pPr>
        <w:spacing w:after="0" w:line="240" w:lineRule="auto"/>
        <w:ind w:left="283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312B7C04" w14:textId="77777777" w:rsidR="00700737" w:rsidRPr="0030177C" w:rsidRDefault="00700737" w:rsidP="00700737">
      <w:pPr>
        <w:spacing w:after="0" w:line="240" w:lineRule="auto"/>
        <w:ind w:left="283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6C418210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>III.</w:t>
      </w:r>
    </w:p>
    <w:p w14:paraId="28278D22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sz w:val="21"/>
          <w:szCs w:val="21"/>
          <w:lang w:eastAsia="cs-CZ"/>
        </w:rPr>
        <w:t>Jednací řád komise</w:t>
      </w:r>
    </w:p>
    <w:p w14:paraId="105E2BCB" w14:textId="77777777" w:rsidR="00700737" w:rsidRPr="0030177C" w:rsidRDefault="00700737" w:rsidP="00700737">
      <w:pPr>
        <w:spacing w:after="0" w:line="240" w:lineRule="auto"/>
        <w:ind w:left="283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07C2C771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Komise se schází dle potřeby.</w:t>
      </w:r>
    </w:p>
    <w:p w14:paraId="5669F279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Jednání komise řídí předseda.</w:t>
      </w:r>
    </w:p>
    <w:p w14:paraId="3987DD2E" w14:textId="77777777" w:rsidR="00700737" w:rsidRPr="00027604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Svoláním jednání, přípravou potřebných podkladů a pořízením zápisu z jednání je pověřen zaměstnanec odboru kancelář primátora. Zápis ověřuje svým podpisem předseda komise.</w:t>
      </w:r>
      <w:r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 </w:t>
      </w:r>
      <w:r w:rsidRPr="00027604">
        <w:rPr>
          <w:rFonts w:ascii="Tahoma" w:eastAsia="Times New Roman" w:hAnsi="Tahoma" w:cs="Tahoma"/>
          <w:kern w:val="22"/>
          <w:sz w:val="21"/>
          <w:szCs w:val="21"/>
          <w:lang w:eastAsia="cs-CZ"/>
        </w:rPr>
        <w:t>Předseda komise je povinen zajistit vložení zápisu na cloudové uložiště na adrese cloud.frydekmistek.cz do 10 dnů od konání jednání komise.</w:t>
      </w:r>
    </w:p>
    <w:p w14:paraId="2C3D03A8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sz w:val="21"/>
          <w:szCs w:val="21"/>
          <w:lang w:val="x-none" w:eastAsia="x-none"/>
        </w:rPr>
      </w:pPr>
      <w:r w:rsidRPr="0030177C">
        <w:rPr>
          <w:rFonts w:ascii="Tahoma" w:eastAsia="Times New Roman" w:hAnsi="Tahoma" w:cs="Tahoma"/>
          <w:sz w:val="21"/>
          <w:szCs w:val="21"/>
          <w:lang w:val="x-none" w:eastAsia="x-none"/>
        </w:rPr>
        <w:t xml:space="preserve">Komise se usnáší většinou hlasů všech svých členů. Usnesení je platné, jestliže s ním vyslovila souhlas nadpoloviční většina všech členů komise. </w:t>
      </w:r>
    </w:p>
    <w:p w14:paraId="3BC2049F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Jednání komise je neveřejné. O osobách přizvaných k účasti na jednání rozhoduje předseda komise.</w:t>
      </w:r>
    </w:p>
    <w:p w14:paraId="1D381145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Člen komise, u něhož skutečnosti nasvědčují, že by jeho podíl na projednávání a rozhodování určité záležitosti mohl znamenat výhodu nebo škodu pro něj samotného, či pro osobu blízkou, </w:t>
      </w: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lastRenderedPageBreak/>
        <w:t xml:space="preserve">pro fyzickou nebo právnickou osobu, kterou zastupuje na základě zákona či plné moci, je povinen sdělit tuto skutečnost předsedajícímu před zahájením jednání komise. </w:t>
      </w:r>
    </w:p>
    <w:p w14:paraId="0AFB3ED0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Člen komise je povinen zachovat mlčenlivost o osobních údajích, se kterými přišel v rámci činnosti komise do styku, a to i po ukončení výkonu funkce člena komise.  S osobními údaji je povinen nakládat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63A5749F" w14:textId="77777777" w:rsidR="00700737" w:rsidRPr="0030177C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O ostatních projednávaných informacích je člen komise povinen zachovat mlčenlivost, a to až do doby projednání záležitosti v příslušném orgánu města. Tímto není dotčena ochrana některých informací dle jiných právních předpisů (např. obchodní tajemství, utajované informace atd.).  </w:t>
      </w:r>
    </w:p>
    <w:p w14:paraId="5D77E767" w14:textId="77777777" w:rsidR="00700737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V případě, že z důvodu závažných organizačních příčin souvisejících s nepříznivým vývojem epidemiologické situace, případně z důvodu jiných mimořádných opatření, v jejichž důsledku nebude možno svolat jednání komise formou osobní účasti jejich členů, je pověřený zaměstnanec odboru kancelář primátora</w:t>
      </w:r>
      <w:r w:rsidRPr="0030177C" w:rsidDel="00DA4D59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 </w:t>
      </w: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po předchozí dohodě s předsedou komise povinen zajistit jednání komise prostřednictvím tzv. videokonference, tedy takového prostředku elektronické komunikace, který konkrétním členům komise umožní bezprostřední interakci s ostatními členy komise. Členové komise jsou v tomto případě povinni si zajistit svou účast na jednání vlastními telekomunikačními prostředky.</w:t>
      </w:r>
    </w:p>
    <w:p w14:paraId="5BF54CFB" w14:textId="77777777" w:rsidR="00700737" w:rsidRPr="00D201DF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>Předseda komise je povinen předložit odboru kancelář primátora dvakrát ročně, vždy do poloviny ledna a července, zprávu o činnosti komise za předcházející kalendářní pololetí, která bude obsahovat název komise, termíny jednání komise, témata projednávaná na jednáních komise a tabulku účasti jednotlivých členů.</w:t>
      </w:r>
    </w:p>
    <w:p w14:paraId="6C972EF8" w14:textId="77777777" w:rsidR="00700737" w:rsidRPr="00D201DF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V případě, že člen komise bude mít za uplynulé kalendářní pololetí neomluvenou absenci na jednáních komise vyšší než 75 %, je předseda komise povinen předložit primátorovi návrh na jeho odvolání. Primátor následně </w:t>
      </w:r>
      <w:proofErr w:type="gramStart"/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>předloží</w:t>
      </w:r>
      <w:proofErr w:type="gramEnd"/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 tento návrh k projednání radě města.</w:t>
      </w:r>
    </w:p>
    <w:p w14:paraId="7EF1CE9C" w14:textId="77777777" w:rsidR="00700737" w:rsidRPr="00D201DF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V případě, že člen komise bude mít za uplynulé kalendářní pololetí neomluvenou absenci na jednáních komise v rozmezí 50 % - 75 %, je předseda komise povinen informovat o této skutečnosti předsedu klubu zastupitelů politické strany či hnutí, které jej nominovaly. Pokud v následujícím kalendářní pololetí bude neomluvená absence tohoto člena na jednáních komise vyšší než 50 %, je předseda komise povinen předložit primátorovi návrh na jeho odvolání. Primátor následně </w:t>
      </w:r>
      <w:proofErr w:type="gramStart"/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>předloží</w:t>
      </w:r>
      <w:proofErr w:type="gramEnd"/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 tento návrh k projednání radě města.</w:t>
      </w:r>
    </w:p>
    <w:p w14:paraId="1D9033E1" w14:textId="77777777" w:rsidR="00700737" w:rsidRPr="00D201DF" w:rsidRDefault="00700737" w:rsidP="00700737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D201DF">
        <w:rPr>
          <w:rFonts w:ascii="Tahoma" w:eastAsia="Times New Roman" w:hAnsi="Tahoma" w:cs="Tahoma"/>
          <w:kern w:val="22"/>
          <w:sz w:val="21"/>
          <w:szCs w:val="21"/>
          <w:lang w:eastAsia="cs-CZ"/>
        </w:rPr>
        <w:t>Za omluvenou se považuje absence zejména z důvodu čerpání dovolené mimo území města, pracovní neschopnosti apod. Důvody absence je člen komise povinen písemně sdělit předsedovi komise nejpozději v den konání jednání komise.</w:t>
      </w:r>
    </w:p>
    <w:p w14:paraId="4023064C" w14:textId="77777777" w:rsidR="00700737" w:rsidRPr="0030177C" w:rsidRDefault="00700737" w:rsidP="00700737">
      <w:pPr>
        <w:spacing w:before="120" w:after="0" w:line="240" w:lineRule="auto"/>
        <w:ind w:left="397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</w:p>
    <w:p w14:paraId="1AB556FF" w14:textId="77777777" w:rsidR="00700737" w:rsidRPr="0030177C" w:rsidRDefault="00700737" w:rsidP="00700737">
      <w:pPr>
        <w:spacing w:after="0" w:line="240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</w:p>
    <w:p w14:paraId="39D72FC1" w14:textId="77777777" w:rsidR="00700737" w:rsidRPr="0030177C" w:rsidRDefault="00700737" w:rsidP="00700737">
      <w:pPr>
        <w:spacing w:after="0" w:line="240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  <w:t>IV.</w:t>
      </w:r>
    </w:p>
    <w:p w14:paraId="0F4FE505" w14:textId="77777777" w:rsidR="00700737" w:rsidRPr="0030177C" w:rsidRDefault="00700737" w:rsidP="00700737">
      <w:pPr>
        <w:spacing w:after="0" w:line="240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  <w:t xml:space="preserve">Ostatní ustanovení </w:t>
      </w:r>
    </w:p>
    <w:p w14:paraId="0711A57F" w14:textId="77777777" w:rsidR="00700737" w:rsidRPr="0030177C" w:rsidRDefault="00700737" w:rsidP="00700737">
      <w:pPr>
        <w:spacing w:after="0" w:line="240" w:lineRule="auto"/>
        <w:jc w:val="center"/>
        <w:rPr>
          <w:rFonts w:ascii="Tahoma" w:eastAsia="Times New Roman" w:hAnsi="Tahoma" w:cs="Tahoma"/>
          <w:b/>
          <w:kern w:val="22"/>
          <w:sz w:val="21"/>
          <w:szCs w:val="21"/>
          <w:lang w:eastAsia="cs-CZ"/>
        </w:rPr>
      </w:pPr>
    </w:p>
    <w:p w14:paraId="4B06A0D9" w14:textId="77777777" w:rsidR="00700737" w:rsidRDefault="00700737" w:rsidP="00700737">
      <w:pPr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Tento Statut a jednací řád byl schválen na </w:t>
      </w:r>
      <w:r>
        <w:rPr>
          <w:rFonts w:ascii="Tahoma" w:eastAsia="Times New Roman" w:hAnsi="Tahoma" w:cs="Tahoma"/>
          <w:kern w:val="22"/>
          <w:sz w:val="21"/>
          <w:szCs w:val="21"/>
          <w:lang w:eastAsia="cs-CZ"/>
        </w:rPr>
        <w:t>5</w:t>
      </w: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. schůzi Rady města Frýdku-Místku konané dne </w:t>
      </w:r>
      <w:r>
        <w:rPr>
          <w:rFonts w:ascii="Tahoma" w:eastAsia="Times New Roman" w:hAnsi="Tahoma" w:cs="Tahoma"/>
          <w:kern w:val="22"/>
          <w:sz w:val="21"/>
          <w:szCs w:val="21"/>
          <w:lang w:eastAsia="cs-CZ"/>
        </w:rPr>
        <w:t>13</w:t>
      </w: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. 1</w:t>
      </w:r>
      <w:r>
        <w:rPr>
          <w:rFonts w:ascii="Tahoma" w:eastAsia="Times New Roman" w:hAnsi="Tahoma" w:cs="Tahoma"/>
          <w:kern w:val="22"/>
          <w:sz w:val="21"/>
          <w:szCs w:val="21"/>
          <w:lang w:eastAsia="cs-CZ"/>
        </w:rPr>
        <w:t>2</w:t>
      </w: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 xml:space="preserve">. 2022 a nabývá tímto dnem účinnosti. </w:t>
      </w:r>
    </w:p>
    <w:p w14:paraId="58558903" w14:textId="77777777" w:rsidR="00700737" w:rsidRPr="0030177C" w:rsidRDefault="00700737" w:rsidP="00700737">
      <w:pPr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ahoma"/>
          <w:kern w:val="22"/>
          <w:sz w:val="21"/>
          <w:szCs w:val="21"/>
          <w:lang w:eastAsia="cs-CZ"/>
        </w:rPr>
      </w:pPr>
      <w:r w:rsidRPr="0030177C">
        <w:rPr>
          <w:rFonts w:ascii="Tahoma" w:eastAsia="Times New Roman" w:hAnsi="Tahoma" w:cs="Tahoma"/>
          <w:kern w:val="22"/>
          <w:sz w:val="21"/>
          <w:szCs w:val="21"/>
          <w:lang w:eastAsia="cs-CZ"/>
        </w:rPr>
        <w:t>Tento Statut a jednací řád pozbývá účinnosti uplynutím doby, na kterou byla komise zřízena, tj. zvolením rady města v následujícím volebním období.</w:t>
      </w:r>
    </w:p>
    <w:p w14:paraId="0672AF03" w14:textId="7F64483F" w:rsidR="004D369C" w:rsidRDefault="004D369C"/>
    <w:sectPr w:rsidR="004D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2B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FB1167"/>
    <w:multiLevelType w:val="singleLevel"/>
    <w:tmpl w:val="07603E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2" w15:restartNumberingAfterBreak="0">
    <w:nsid w:val="4CF101F9"/>
    <w:multiLevelType w:val="hybridMultilevel"/>
    <w:tmpl w:val="CA48E9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CE4DC7"/>
    <w:multiLevelType w:val="singleLevel"/>
    <w:tmpl w:val="CCDA4D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1"/>
        <w:szCs w:val="21"/>
      </w:rPr>
    </w:lvl>
  </w:abstractNum>
  <w:num w:numId="1" w16cid:durableId="1685397442">
    <w:abstractNumId w:val="1"/>
  </w:num>
  <w:num w:numId="2" w16cid:durableId="431358540">
    <w:abstractNumId w:val="2"/>
  </w:num>
  <w:num w:numId="3" w16cid:durableId="965770146">
    <w:abstractNumId w:val="3"/>
  </w:num>
  <w:num w:numId="4" w16cid:durableId="140070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37"/>
    <w:rsid w:val="004D369C"/>
    <w:rsid w:val="007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BC1F"/>
  <w15:chartTrackingRefBased/>
  <w15:docId w15:val="{8551457F-3CA0-4189-95EA-DC301E11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796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Jakub KOHOUTEK</dc:creator>
  <cp:keywords/>
  <dc:description/>
  <cp:lastModifiedBy>Bc. Jakub KOHOUTEK</cp:lastModifiedBy>
  <cp:revision>1</cp:revision>
  <dcterms:created xsi:type="dcterms:W3CDTF">2022-12-15T12:47:00Z</dcterms:created>
  <dcterms:modified xsi:type="dcterms:W3CDTF">2022-12-15T12:55:00Z</dcterms:modified>
</cp:coreProperties>
</file>