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7998" w14:textId="1EC89A79" w:rsidR="00B30F5B" w:rsidRPr="00B30F5B" w:rsidRDefault="00B30F5B" w:rsidP="00B30F5B">
      <w:pPr>
        <w:jc w:val="center"/>
        <w:rPr>
          <w:rFonts w:ascii="Tahoma" w:hAnsi="Tahoma" w:cs="Tahoma"/>
          <w:b/>
          <w:bCs/>
          <w:sz w:val="21"/>
          <w:szCs w:val="21"/>
        </w:rPr>
      </w:pPr>
      <w:r w:rsidRPr="00B30F5B">
        <w:rPr>
          <w:rFonts w:ascii="Tahoma" w:hAnsi="Tahoma" w:cs="Tahoma"/>
          <w:b/>
          <w:bCs/>
          <w:sz w:val="21"/>
          <w:szCs w:val="21"/>
        </w:rPr>
        <w:t>Dítě týrané, zneužívané, zanedbávané</w:t>
      </w:r>
    </w:p>
    <w:p w14:paraId="17072DD0" w14:textId="77777777" w:rsidR="00B30F5B" w:rsidRDefault="00B30F5B" w:rsidP="00C43C5D">
      <w:pPr>
        <w:jc w:val="both"/>
        <w:rPr>
          <w:rFonts w:ascii="Tahoma" w:hAnsi="Tahoma" w:cs="Tahoma"/>
          <w:sz w:val="21"/>
          <w:szCs w:val="21"/>
        </w:rPr>
      </w:pPr>
    </w:p>
    <w:p w14:paraId="4A5BAF91" w14:textId="7DFABBE5" w:rsidR="0020309C" w:rsidRDefault="0020309C" w:rsidP="00C43C5D">
      <w:pPr>
        <w:jc w:val="both"/>
        <w:rPr>
          <w:rFonts w:ascii="Tahoma" w:hAnsi="Tahoma" w:cs="Tahoma"/>
          <w:sz w:val="21"/>
          <w:szCs w:val="21"/>
        </w:rPr>
      </w:pPr>
      <w:r w:rsidRPr="0020309C">
        <w:rPr>
          <w:rFonts w:ascii="Tahoma" w:hAnsi="Tahoma" w:cs="Tahoma"/>
          <w:sz w:val="21"/>
          <w:szCs w:val="21"/>
        </w:rPr>
        <w:t>Každé dítě má právo vyrůstat v bezpečném a podnětném prostředí, které podporuje jeho zdravý vývoj. Orgán sociálně-právní ochrany dětí (OSPOD) se zabývá situacemi, kdy je dítě ohroženo například nadměrným trestáním, fyzickým násilím, psychickým ponižováním, sexuálním zneužíváním, zanedbáváním péče nebo domácím násilím v rodině. Za ohrožení dítěte se považuje také situace, kdy je dítě ponecháno bez dozoru, nemá zajištěnou dostatečnou výživu, potřebnou zdravotní péči nebo nejsou naplňovány jeho základní životní potřeby.</w:t>
      </w:r>
    </w:p>
    <w:p w14:paraId="53613DC9" w14:textId="77777777" w:rsidR="00C43C5D" w:rsidRDefault="00C43C5D" w:rsidP="00C43C5D">
      <w:pPr>
        <w:jc w:val="both"/>
        <w:rPr>
          <w:rFonts w:ascii="Tahoma" w:hAnsi="Tahoma" w:cs="Tahoma"/>
          <w:sz w:val="21"/>
          <w:szCs w:val="21"/>
        </w:rPr>
      </w:pPr>
      <w:r w:rsidRPr="00C43C5D">
        <w:rPr>
          <w:rFonts w:ascii="Tahoma" w:hAnsi="Tahoma" w:cs="Tahoma"/>
          <w:sz w:val="21"/>
          <w:szCs w:val="21"/>
        </w:rPr>
        <w:t xml:space="preserve">Týrání, zneužívání a zanedbávání dítěte představují závažné ohrožení jeho zdravého vývoje a bezpečí. </w:t>
      </w:r>
    </w:p>
    <w:p w14:paraId="2237A15A" w14:textId="77777777" w:rsidR="00C43C5D" w:rsidRDefault="00C43C5D" w:rsidP="00C43C5D">
      <w:pPr>
        <w:jc w:val="both"/>
        <w:rPr>
          <w:rFonts w:ascii="Tahoma" w:hAnsi="Tahoma" w:cs="Tahoma"/>
          <w:sz w:val="21"/>
          <w:szCs w:val="21"/>
        </w:rPr>
      </w:pPr>
      <w:r w:rsidRPr="00C43C5D">
        <w:rPr>
          <w:rFonts w:ascii="Tahoma" w:hAnsi="Tahoma" w:cs="Tahoma"/>
          <w:b/>
          <w:bCs/>
          <w:sz w:val="21"/>
          <w:szCs w:val="21"/>
        </w:rPr>
        <w:t>Fyzické týrání</w:t>
      </w:r>
      <w:r w:rsidRPr="00C43C5D">
        <w:rPr>
          <w:rFonts w:ascii="Tahoma" w:hAnsi="Tahoma" w:cs="Tahoma"/>
          <w:sz w:val="21"/>
          <w:szCs w:val="21"/>
        </w:rPr>
        <w:t xml:space="preserve"> znamená úmyslné působení bolesti nebo zranění dítěti, například bití, fackování, škrcení, pálení nebo jiné nepřiměřené tresty. </w:t>
      </w:r>
    </w:p>
    <w:p w14:paraId="658BFF4B" w14:textId="77777777" w:rsidR="00C43C5D" w:rsidRDefault="00C43C5D" w:rsidP="00C43C5D">
      <w:pPr>
        <w:jc w:val="both"/>
        <w:rPr>
          <w:rFonts w:ascii="Tahoma" w:hAnsi="Tahoma" w:cs="Tahoma"/>
          <w:sz w:val="21"/>
          <w:szCs w:val="21"/>
        </w:rPr>
      </w:pPr>
      <w:r w:rsidRPr="00C43C5D">
        <w:rPr>
          <w:rFonts w:ascii="Tahoma" w:hAnsi="Tahoma" w:cs="Tahoma"/>
          <w:b/>
          <w:bCs/>
          <w:sz w:val="21"/>
          <w:szCs w:val="21"/>
        </w:rPr>
        <w:t>Psychické týrání</w:t>
      </w:r>
      <w:r w:rsidRPr="00C43C5D">
        <w:rPr>
          <w:rFonts w:ascii="Tahoma" w:hAnsi="Tahoma" w:cs="Tahoma"/>
          <w:sz w:val="21"/>
          <w:szCs w:val="21"/>
        </w:rPr>
        <w:t xml:space="preserve"> zahrnuje dlouhodobé ponižování, zastrašování, odmítání, citové vydírání nebo vyhrožování, které negativně ovlivňuje psychický vývoj a sebevědomí dítěte. </w:t>
      </w:r>
    </w:p>
    <w:p w14:paraId="2609304C" w14:textId="4B35AF1E" w:rsidR="00C43C5D" w:rsidRPr="00C43C5D" w:rsidRDefault="00C43C5D" w:rsidP="00C43C5D">
      <w:pPr>
        <w:jc w:val="both"/>
        <w:rPr>
          <w:rFonts w:ascii="Tahoma" w:hAnsi="Tahoma" w:cs="Tahoma"/>
          <w:sz w:val="21"/>
          <w:szCs w:val="21"/>
        </w:rPr>
      </w:pPr>
      <w:r w:rsidRPr="00C43C5D">
        <w:rPr>
          <w:rFonts w:ascii="Tahoma" w:hAnsi="Tahoma" w:cs="Tahoma"/>
          <w:b/>
          <w:bCs/>
          <w:sz w:val="21"/>
          <w:szCs w:val="21"/>
        </w:rPr>
        <w:t>Sexuálním zneužíváním</w:t>
      </w:r>
      <w:r w:rsidRPr="00C43C5D">
        <w:rPr>
          <w:rFonts w:ascii="Tahoma" w:hAnsi="Tahoma" w:cs="Tahoma"/>
          <w:sz w:val="21"/>
          <w:szCs w:val="21"/>
        </w:rPr>
        <w:t xml:space="preserve"> se rozumí jakékoliv sexuální chování vůči dítěti nebo zapojování dítěte do sexuálních aktivit, kterým nerozumí, nesouhlasí s nimi nebo nejsou přiměřené jeho věku. Zanedbávání péče spočívá v dlouhodobém neuspokojování základních potřeb dítěte, například v oblasti výživy, hygieny, zdravotní péče, vzdělávání, dohledu nebo citové podpory. Ohrožující je také domácí násilí, tedy opakované násilné, ponižující nebo kontrolující chování mezi členy domácnosti. Dítě přitom může být ohroženo nejen jako přímá oběť, ale také jako svědek násilí mezi dospělými.</w:t>
      </w:r>
    </w:p>
    <w:p w14:paraId="5E8822BB" w14:textId="77777777" w:rsidR="00C43C5D" w:rsidRDefault="00C43C5D" w:rsidP="00C43C5D">
      <w:pPr>
        <w:jc w:val="both"/>
        <w:rPr>
          <w:rFonts w:ascii="Tahoma" w:hAnsi="Tahoma" w:cs="Tahoma"/>
          <w:sz w:val="21"/>
          <w:szCs w:val="21"/>
        </w:rPr>
      </w:pPr>
      <w:r w:rsidRPr="00C43C5D">
        <w:rPr>
          <w:rFonts w:ascii="Tahoma" w:hAnsi="Tahoma" w:cs="Tahoma"/>
          <w:b/>
          <w:bCs/>
          <w:sz w:val="21"/>
          <w:szCs w:val="21"/>
        </w:rPr>
        <w:t>Znaky ohroženého nebo týraného dítěte</w:t>
      </w:r>
      <w:r w:rsidRPr="00C43C5D">
        <w:rPr>
          <w:rFonts w:ascii="Tahoma" w:hAnsi="Tahoma" w:cs="Tahoma"/>
          <w:sz w:val="21"/>
          <w:szCs w:val="21"/>
        </w:rPr>
        <w:t xml:space="preserve"> mohou být různé a často se projevují v jeho chování, zdravotním stavu nebo vztazích s okolím. Jednotlivé projevy samy o sobě nemusí vždy znamenat týrání, důležitá je však jejich opakovanost, kombinace nebo nepřiměřenost věku a situaci dítěte. </w:t>
      </w:r>
    </w:p>
    <w:p w14:paraId="498EABBA" w14:textId="46CDC194" w:rsidR="00C43C5D" w:rsidRPr="00C43C5D" w:rsidRDefault="00C43C5D" w:rsidP="00C43C5D">
      <w:pPr>
        <w:jc w:val="both"/>
        <w:rPr>
          <w:rFonts w:ascii="Tahoma" w:hAnsi="Tahoma" w:cs="Tahoma"/>
          <w:sz w:val="21"/>
          <w:szCs w:val="21"/>
        </w:rPr>
      </w:pPr>
      <w:r w:rsidRPr="00C43C5D">
        <w:rPr>
          <w:rFonts w:ascii="Tahoma" w:hAnsi="Tahoma" w:cs="Tahoma"/>
          <w:b/>
          <w:bCs/>
          <w:sz w:val="21"/>
          <w:szCs w:val="21"/>
        </w:rPr>
        <w:t>U fyzického týrání</w:t>
      </w:r>
      <w:r w:rsidRPr="00C43C5D">
        <w:rPr>
          <w:rFonts w:ascii="Tahoma" w:hAnsi="Tahoma" w:cs="Tahoma"/>
          <w:sz w:val="21"/>
          <w:szCs w:val="21"/>
        </w:rPr>
        <w:t xml:space="preserve"> mohou být varovnými signály opakované modřiny, podlitiny, popáleniny nebo jiná zranění, často v různých fázích hojení. Podezřelé může být také nevěrohodné vysvětlování úrazů, výrazná lekavost, úzkost nebo strach dítěte z fyzického kontaktu či návratu domů.</w:t>
      </w:r>
    </w:p>
    <w:p w14:paraId="015EC96E" w14:textId="77777777" w:rsidR="00C43C5D" w:rsidRPr="00C43C5D" w:rsidRDefault="00C43C5D" w:rsidP="00C43C5D">
      <w:pPr>
        <w:jc w:val="both"/>
        <w:rPr>
          <w:rFonts w:ascii="Tahoma" w:hAnsi="Tahoma" w:cs="Tahoma"/>
          <w:sz w:val="21"/>
          <w:szCs w:val="21"/>
        </w:rPr>
      </w:pPr>
      <w:r w:rsidRPr="00C43C5D">
        <w:rPr>
          <w:rFonts w:ascii="Tahoma" w:hAnsi="Tahoma" w:cs="Tahoma"/>
          <w:b/>
          <w:bCs/>
          <w:sz w:val="21"/>
          <w:szCs w:val="21"/>
        </w:rPr>
        <w:t xml:space="preserve">Psychické týrání </w:t>
      </w:r>
      <w:r w:rsidRPr="00C43C5D">
        <w:rPr>
          <w:rFonts w:ascii="Tahoma" w:hAnsi="Tahoma" w:cs="Tahoma"/>
          <w:sz w:val="21"/>
          <w:szCs w:val="21"/>
        </w:rPr>
        <w:t>se může projevovat nízkým sebevědomím, uzavřeností, nadměrným strachem z chyb a trestů nebo naopak výraznou agresivitou. Dítě může působit smutně, úzkostně, mít poruchy spánku, problémy ve škole, zhoršený prospěch nebo sklony k sociální izolaci. Varovným signálem mohou být také projevy sebepoškozování nebo výroky o vlastní bezcennosti.</w:t>
      </w:r>
    </w:p>
    <w:p w14:paraId="2C621FAF" w14:textId="77777777" w:rsidR="00C43C5D" w:rsidRPr="00C43C5D" w:rsidRDefault="00C43C5D" w:rsidP="00C43C5D">
      <w:pPr>
        <w:jc w:val="both"/>
        <w:rPr>
          <w:rFonts w:ascii="Tahoma" w:hAnsi="Tahoma" w:cs="Tahoma"/>
          <w:sz w:val="21"/>
          <w:szCs w:val="21"/>
        </w:rPr>
      </w:pPr>
      <w:r w:rsidRPr="00C43C5D">
        <w:rPr>
          <w:rFonts w:ascii="Tahoma" w:hAnsi="Tahoma" w:cs="Tahoma"/>
          <w:b/>
          <w:bCs/>
          <w:sz w:val="21"/>
          <w:szCs w:val="21"/>
        </w:rPr>
        <w:t>U sexuálního zneužívání</w:t>
      </w:r>
      <w:r w:rsidRPr="00C43C5D">
        <w:rPr>
          <w:rFonts w:ascii="Tahoma" w:hAnsi="Tahoma" w:cs="Tahoma"/>
          <w:sz w:val="21"/>
          <w:szCs w:val="21"/>
        </w:rPr>
        <w:t xml:space="preserve"> se mohou objevovat náhlé změny chování, nevhodné sexuální projevy neodpovídající věku dítěte, strach z určité osoby nebo místa, bolesti či opakované zdravotní obtíže v intimní oblasti. Dítě může utíkat z domova, být depresivní nebo se sebepoškozovat.</w:t>
      </w:r>
    </w:p>
    <w:p w14:paraId="4B66422F" w14:textId="77777777" w:rsidR="00C43C5D" w:rsidRPr="00C43C5D" w:rsidRDefault="00C43C5D" w:rsidP="00C43C5D">
      <w:pPr>
        <w:jc w:val="both"/>
        <w:rPr>
          <w:rFonts w:ascii="Tahoma" w:hAnsi="Tahoma" w:cs="Tahoma"/>
          <w:sz w:val="21"/>
          <w:szCs w:val="21"/>
        </w:rPr>
      </w:pPr>
      <w:r w:rsidRPr="00C43C5D">
        <w:rPr>
          <w:rFonts w:ascii="Tahoma" w:hAnsi="Tahoma" w:cs="Tahoma"/>
          <w:b/>
          <w:bCs/>
          <w:sz w:val="21"/>
          <w:szCs w:val="21"/>
        </w:rPr>
        <w:t xml:space="preserve">Znaky zanedbávání péče </w:t>
      </w:r>
      <w:r w:rsidRPr="00C43C5D">
        <w:rPr>
          <w:rFonts w:ascii="Tahoma" w:hAnsi="Tahoma" w:cs="Tahoma"/>
          <w:sz w:val="21"/>
          <w:szCs w:val="21"/>
        </w:rPr>
        <w:t>zahrnují například dlouhodobý hlad, únavu, zanedbaný vzhled, nedostatečnou hygienu, nevhodné oblečení vzhledem k počasí, časté absence ve škole nebo zanedbanou zdravotní péči. Varovným signálem je také ponechávání dítěte bez dozoru.</w:t>
      </w:r>
    </w:p>
    <w:p w14:paraId="2D05E09A" w14:textId="77777777" w:rsidR="00C43C5D" w:rsidRPr="00C43C5D" w:rsidRDefault="00C43C5D" w:rsidP="00C43C5D">
      <w:pPr>
        <w:jc w:val="both"/>
        <w:rPr>
          <w:rFonts w:ascii="Tahoma" w:hAnsi="Tahoma" w:cs="Tahoma"/>
          <w:sz w:val="21"/>
          <w:szCs w:val="21"/>
        </w:rPr>
      </w:pPr>
      <w:r w:rsidRPr="00C43C5D">
        <w:rPr>
          <w:rFonts w:ascii="Tahoma" w:hAnsi="Tahoma" w:cs="Tahoma"/>
          <w:b/>
          <w:bCs/>
          <w:sz w:val="21"/>
          <w:szCs w:val="21"/>
        </w:rPr>
        <w:t>Dítě může být negativně ovlivněno i tím, že je svědkem domácího násilí.</w:t>
      </w:r>
      <w:r w:rsidRPr="00C43C5D">
        <w:rPr>
          <w:rFonts w:ascii="Tahoma" w:hAnsi="Tahoma" w:cs="Tahoma"/>
          <w:sz w:val="21"/>
          <w:szCs w:val="21"/>
        </w:rPr>
        <w:t xml:space="preserve"> V takových případech se často objevuje silný strach, úzkost, napětí, zvýšená ostražitost, problémy se soustředěním nebo změny v chování. Dítě může být agresivní, nebo naopak velmi pasivní a může mít obavy o bezpečí rodiče či sourozenců.</w:t>
      </w:r>
    </w:p>
    <w:p w14:paraId="0AF15166" w14:textId="77777777" w:rsidR="00822350" w:rsidRDefault="00822350" w:rsidP="00C43C5D">
      <w:pPr>
        <w:jc w:val="both"/>
        <w:rPr>
          <w:rFonts w:ascii="Tahoma" w:hAnsi="Tahoma" w:cs="Tahoma"/>
          <w:sz w:val="21"/>
          <w:szCs w:val="21"/>
        </w:rPr>
      </w:pPr>
    </w:p>
    <w:p w14:paraId="49ABE714" w14:textId="77777777" w:rsidR="00822350" w:rsidRDefault="00822350" w:rsidP="00C43C5D">
      <w:pPr>
        <w:jc w:val="both"/>
        <w:rPr>
          <w:rFonts w:ascii="Tahoma" w:hAnsi="Tahoma" w:cs="Tahoma"/>
          <w:sz w:val="21"/>
          <w:szCs w:val="21"/>
        </w:rPr>
      </w:pPr>
    </w:p>
    <w:p w14:paraId="558635BB" w14:textId="66CC60D6" w:rsidR="00C43C5D" w:rsidRPr="00C43C5D" w:rsidRDefault="00C43C5D" w:rsidP="00C43C5D">
      <w:pPr>
        <w:jc w:val="both"/>
        <w:rPr>
          <w:rFonts w:ascii="Tahoma" w:hAnsi="Tahoma" w:cs="Tahoma"/>
          <w:sz w:val="21"/>
          <w:szCs w:val="21"/>
        </w:rPr>
      </w:pPr>
      <w:r w:rsidRPr="00C43C5D">
        <w:rPr>
          <w:rFonts w:ascii="Tahoma" w:hAnsi="Tahoma" w:cs="Tahoma"/>
          <w:sz w:val="21"/>
          <w:szCs w:val="21"/>
        </w:rPr>
        <w:t>Pokud má občan, učitel nebo jiná osoba podezření, že je dítě ohroženo, není nutné mít jistotu ani důkazy. Důležité je své obavy oznámit orgánu sociálně-právní ochrany dětí (OSPOD), Policii České republiky nebo vedení školy. Každé oznámení je prověřováno s ohledem na ochranu dítěte a jeho bezpečí.</w:t>
      </w:r>
    </w:p>
    <w:p w14:paraId="3A6B2F75" w14:textId="77777777" w:rsidR="0020309C" w:rsidRPr="0020309C" w:rsidRDefault="0020309C" w:rsidP="00C43C5D">
      <w:pPr>
        <w:jc w:val="both"/>
        <w:rPr>
          <w:rFonts w:ascii="Tahoma" w:hAnsi="Tahoma" w:cs="Tahoma"/>
          <w:sz w:val="21"/>
          <w:szCs w:val="21"/>
        </w:rPr>
      </w:pPr>
      <w:r w:rsidRPr="0020309C">
        <w:rPr>
          <w:rFonts w:ascii="Tahoma" w:hAnsi="Tahoma" w:cs="Tahoma"/>
          <w:sz w:val="21"/>
          <w:szCs w:val="21"/>
        </w:rPr>
        <w:t>Povinnost upozornit na možné ohrožení dítěte ukládá § 10 odst. 4 zákona č. 359/1999 Sb., o sociálně-právní ochraně dětí, zejména státním orgánům, školám, školským zařízením, poskytovatelům sociálních služeb a dalším organizacím, které přicházejí do kontaktu s dětmi a jejich rodinami. Oznámení však může podat každý občan, stejně jako samotné dítě. OSPOD přijímá oznámení písemně, telefonicky, osobně, e-mailem i anonymně. Každé oznámení je prověřováno a oznamovatelům je zaručena ochrana anonymity.</w:t>
      </w:r>
    </w:p>
    <w:p w14:paraId="3D0876EB" w14:textId="77777777" w:rsidR="0020309C" w:rsidRDefault="0020309C" w:rsidP="00C43C5D">
      <w:pPr>
        <w:jc w:val="both"/>
        <w:rPr>
          <w:rFonts w:ascii="Tahoma" w:hAnsi="Tahoma" w:cs="Tahoma"/>
          <w:sz w:val="21"/>
          <w:szCs w:val="21"/>
        </w:rPr>
      </w:pPr>
      <w:r w:rsidRPr="0020309C">
        <w:rPr>
          <w:rFonts w:ascii="Tahoma" w:hAnsi="Tahoma" w:cs="Tahoma"/>
          <w:sz w:val="21"/>
          <w:szCs w:val="21"/>
        </w:rPr>
        <w:t>Řešení situace se zahajuje při podezření na týrání dítěte, sexuální zneužívání, zanedbávání péče nebo jiné ohrožení dítěte. Orgán sociálně-právní ochrany dětí se zabývá každým přijatým oznámením a nevyžaduje pro jeho podání žádné zvláštní podmínky ani formuláře. Podání oznámení je bezplatné a situace jsou řešeny bez zbytečného odkladu.</w:t>
      </w:r>
    </w:p>
    <w:p w14:paraId="08C6DFEE" w14:textId="4B9A1953" w:rsidR="0020309C" w:rsidRPr="00C43C5D" w:rsidRDefault="0020309C" w:rsidP="00C43C5D">
      <w:pPr>
        <w:jc w:val="both"/>
        <w:rPr>
          <w:rFonts w:ascii="Tahoma" w:hAnsi="Tahoma" w:cs="Tahoma"/>
          <w:b/>
          <w:bCs/>
          <w:sz w:val="21"/>
          <w:szCs w:val="21"/>
        </w:rPr>
      </w:pPr>
      <w:r w:rsidRPr="00C43C5D">
        <w:rPr>
          <w:rFonts w:ascii="Tahoma" w:hAnsi="Tahoma" w:cs="Tahoma"/>
          <w:b/>
          <w:bCs/>
          <w:sz w:val="21"/>
          <w:szCs w:val="21"/>
        </w:rPr>
        <w:t>Oddělení sociálně-právní ochrany dětí Magistrátu města Frýdku-</w:t>
      </w:r>
      <w:r w:rsidR="009F3F66" w:rsidRPr="00C43C5D">
        <w:rPr>
          <w:rFonts w:ascii="Tahoma" w:hAnsi="Tahoma" w:cs="Tahoma"/>
          <w:b/>
          <w:bCs/>
          <w:sz w:val="21"/>
          <w:szCs w:val="21"/>
        </w:rPr>
        <w:t>Místku</w:t>
      </w:r>
      <w:r w:rsidR="009F3F66">
        <w:rPr>
          <w:rFonts w:ascii="Tahoma" w:hAnsi="Tahoma" w:cs="Tahoma"/>
          <w:b/>
          <w:bCs/>
          <w:sz w:val="21"/>
          <w:szCs w:val="21"/>
        </w:rPr>
        <w:t xml:space="preserve"> sídlí</w:t>
      </w:r>
      <w:r w:rsidR="00C34EDE">
        <w:rPr>
          <w:rFonts w:ascii="Tahoma" w:hAnsi="Tahoma" w:cs="Tahoma"/>
          <w:b/>
          <w:bCs/>
          <w:sz w:val="21"/>
          <w:szCs w:val="21"/>
        </w:rPr>
        <w:t xml:space="preserve"> </w:t>
      </w:r>
      <w:r w:rsidRPr="00C43C5D">
        <w:rPr>
          <w:rFonts w:ascii="Tahoma" w:hAnsi="Tahoma" w:cs="Tahoma"/>
          <w:b/>
          <w:bCs/>
          <w:sz w:val="21"/>
          <w:szCs w:val="21"/>
        </w:rPr>
        <w:t>na</w:t>
      </w:r>
      <w:r w:rsidR="00C34EDE">
        <w:rPr>
          <w:rFonts w:ascii="Tahoma" w:hAnsi="Tahoma" w:cs="Tahoma"/>
          <w:b/>
          <w:bCs/>
          <w:sz w:val="21"/>
          <w:szCs w:val="21"/>
        </w:rPr>
        <w:t xml:space="preserve"> </w:t>
      </w:r>
      <w:r w:rsidRPr="00C43C5D">
        <w:rPr>
          <w:rFonts w:ascii="Tahoma" w:hAnsi="Tahoma" w:cs="Tahoma"/>
          <w:b/>
          <w:bCs/>
          <w:sz w:val="21"/>
          <w:szCs w:val="21"/>
        </w:rPr>
        <w:t>adrese Politických obětí 2478 v Místku. Oddělení poskytuje pomoc občanům s trvalým pobytem ve Frýdku-Místku a ve správním obvodu obcí Baška, Brušperk, Bruzovice, Dobrá, Dobratice, Dolní Domaslavice, Dolní Tošanovice, Fryčovice, Horní Domaslavice, Horní Tošanovice, Hukvaldy, Kaňovice, Kozlovice, Krásná, Krmelín, Lhotka, Lučina, Morávka, Nižní Lhoty, Nošovice, Palkovice, Paskov, Pazderna, Pražmo, Raškovice, Řepiště, Sedliště, Soběšovice, Staré Město, Staříč, Sviadnov, Třanovice, Vojkovice, Vyšní Lhoty, Žabeň a Žermanice.</w:t>
      </w:r>
    </w:p>
    <w:p w14:paraId="508956AC" w14:textId="77777777" w:rsidR="0020309C" w:rsidRPr="0020309C" w:rsidRDefault="0020309C" w:rsidP="00C43C5D">
      <w:pPr>
        <w:jc w:val="both"/>
        <w:rPr>
          <w:rFonts w:ascii="Tahoma" w:hAnsi="Tahoma" w:cs="Tahoma"/>
          <w:sz w:val="21"/>
          <w:szCs w:val="21"/>
        </w:rPr>
      </w:pPr>
      <w:r w:rsidRPr="0020309C">
        <w:rPr>
          <w:rFonts w:ascii="Tahoma" w:hAnsi="Tahoma" w:cs="Tahoma"/>
          <w:sz w:val="21"/>
          <w:szCs w:val="21"/>
        </w:rPr>
        <w:t>Podezření na týrání, sexuální zneužívání, zanedbávání péče nebo domácí násilí lze oznámit také na kterémkoliv oddělení Policie České republiky nebo na státním zastupitelství. Pro naléhavé situace související s ochranou dětí je zajištěna nepřetržitá pracovní pohotovost oddělení sociálně-právní ochrany dětí. Kontaktní údaje na pracovníka vykonávajícího pohotovost má k dispozici Policie ČR a Městská policie Frýdek-Místek, které pracovníka OSPOD v případě potřeby neprodleně kontaktují.</w:t>
      </w:r>
    </w:p>
    <w:p w14:paraId="3FCEDA94" w14:textId="77777777" w:rsidR="0020309C" w:rsidRPr="0020309C" w:rsidRDefault="0020309C" w:rsidP="00C43C5D">
      <w:pPr>
        <w:jc w:val="both"/>
        <w:rPr>
          <w:rFonts w:ascii="Tahoma" w:hAnsi="Tahoma" w:cs="Tahoma"/>
          <w:sz w:val="21"/>
          <w:szCs w:val="21"/>
        </w:rPr>
      </w:pPr>
      <w:r w:rsidRPr="0020309C">
        <w:rPr>
          <w:rFonts w:ascii="Tahoma" w:hAnsi="Tahoma" w:cs="Tahoma"/>
          <w:sz w:val="21"/>
          <w:szCs w:val="21"/>
        </w:rPr>
        <w:t>Při osobním jednání je nutné prokázat totožnost občanským průkazem, při jiných formách oznámení není žádný doklad vyžadován. Pracovníci OSPOD mohou poskytovat odborné poradenství, provádět sociální šetření v rodině, hovořit s dítětem, doporučit odbornou pomoc nebo spolupracovat s dalšími institucemi a orgány činnými v trestním řízení. Dle potřeby může být po oznamovateli požadována součinnost při objasňování situace.</w:t>
      </w:r>
    </w:p>
    <w:p w14:paraId="1877F0B1" w14:textId="198441BC" w:rsidR="00C34EDE" w:rsidRPr="00C34EDE" w:rsidRDefault="0020309C" w:rsidP="00C34EDE">
      <w:pPr>
        <w:jc w:val="both"/>
        <w:rPr>
          <w:rFonts w:ascii="Tahoma" w:hAnsi="Tahoma" w:cs="Tahoma"/>
          <w:sz w:val="21"/>
          <w:szCs w:val="21"/>
        </w:rPr>
      </w:pPr>
      <w:r w:rsidRPr="0020309C">
        <w:rPr>
          <w:rFonts w:ascii="Tahoma" w:hAnsi="Tahoma" w:cs="Tahoma"/>
          <w:sz w:val="21"/>
          <w:szCs w:val="21"/>
        </w:rPr>
        <w:t>Postup orgánu sociálně-právní ochrany dětí se řídí zejména zákonem č. 359/1999 Sb., o sociálně-právní ochraně dětí, občanským zákoníkem, občanským soudním řádem, Úmluvou o právech dítěte, Listinou základních práv a svobod, trestním zákoníkem a trestním řádem.</w:t>
      </w:r>
    </w:p>
    <w:p w14:paraId="37CEB422" w14:textId="77777777" w:rsidR="00C34EDE" w:rsidRDefault="00C34EDE" w:rsidP="00C34EDE">
      <w:pPr>
        <w:jc w:val="both"/>
        <w:rPr>
          <w:rFonts w:ascii="Tahoma" w:hAnsi="Tahoma" w:cs="Tahoma"/>
          <w:b/>
          <w:bCs/>
          <w:sz w:val="21"/>
          <w:szCs w:val="21"/>
        </w:rPr>
      </w:pPr>
    </w:p>
    <w:p w14:paraId="52CDC115" w14:textId="77777777" w:rsidR="00555828" w:rsidRDefault="00555828" w:rsidP="00C34EDE">
      <w:pPr>
        <w:jc w:val="both"/>
        <w:rPr>
          <w:rFonts w:ascii="Tahoma" w:hAnsi="Tahoma" w:cs="Tahoma"/>
          <w:b/>
          <w:bCs/>
          <w:sz w:val="21"/>
          <w:szCs w:val="21"/>
        </w:rPr>
      </w:pPr>
    </w:p>
    <w:p w14:paraId="395F76C5" w14:textId="77777777" w:rsidR="00822350" w:rsidRDefault="00822350" w:rsidP="00C34EDE">
      <w:pPr>
        <w:jc w:val="both"/>
        <w:rPr>
          <w:rFonts w:ascii="Tahoma" w:hAnsi="Tahoma" w:cs="Tahoma"/>
          <w:b/>
          <w:bCs/>
          <w:sz w:val="21"/>
          <w:szCs w:val="21"/>
        </w:rPr>
      </w:pPr>
    </w:p>
    <w:p w14:paraId="519028C4" w14:textId="77777777" w:rsidR="00822350" w:rsidRDefault="00822350" w:rsidP="00C34EDE">
      <w:pPr>
        <w:jc w:val="both"/>
        <w:rPr>
          <w:rFonts w:ascii="Tahoma" w:hAnsi="Tahoma" w:cs="Tahoma"/>
          <w:b/>
          <w:bCs/>
          <w:sz w:val="21"/>
          <w:szCs w:val="21"/>
        </w:rPr>
      </w:pPr>
    </w:p>
    <w:p w14:paraId="0EA0C884" w14:textId="77777777" w:rsidR="00822350" w:rsidRDefault="00822350" w:rsidP="00C34EDE">
      <w:pPr>
        <w:jc w:val="both"/>
        <w:rPr>
          <w:rFonts w:ascii="Tahoma" w:hAnsi="Tahoma" w:cs="Tahoma"/>
          <w:b/>
          <w:bCs/>
          <w:sz w:val="21"/>
          <w:szCs w:val="21"/>
        </w:rPr>
      </w:pPr>
    </w:p>
    <w:p w14:paraId="2F700BE0" w14:textId="77777777" w:rsidR="00822350" w:rsidRDefault="00822350" w:rsidP="00C34EDE">
      <w:pPr>
        <w:jc w:val="both"/>
        <w:rPr>
          <w:rFonts w:ascii="Tahoma" w:hAnsi="Tahoma" w:cs="Tahoma"/>
          <w:b/>
          <w:bCs/>
          <w:sz w:val="21"/>
          <w:szCs w:val="21"/>
        </w:rPr>
      </w:pPr>
    </w:p>
    <w:p w14:paraId="4C597517" w14:textId="49391F3C" w:rsidR="00C34EDE" w:rsidRDefault="00C34EDE" w:rsidP="00C34EDE">
      <w:pPr>
        <w:jc w:val="both"/>
        <w:rPr>
          <w:rFonts w:ascii="Tahoma" w:hAnsi="Tahoma" w:cs="Tahoma"/>
          <w:b/>
          <w:bCs/>
          <w:sz w:val="21"/>
          <w:szCs w:val="21"/>
        </w:rPr>
      </w:pPr>
      <w:r w:rsidRPr="00C34EDE">
        <w:rPr>
          <w:rFonts w:ascii="Tahoma" w:hAnsi="Tahoma" w:cs="Tahoma"/>
          <w:b/>
          <w:bCs/>
          <w:sz w:val="21"/>
          <w:szCs w:val="21"/>
        </w:rPr>
        <w:t>Na koho se obrátit:</w:t>
      </w:r>
    </w:p>
    <w:p w14:paraId="4867222A" w14:textId="77777777" w:rsidR="00555828" w:rsidRDefault="00555828" w:rsidP="00555828">
      <w:pPr>
        <w:jc w:val="both"/>
        <w:rPr>
          <w:rFonts w:ascii="Tahoma" w:eastAsia="Times New Roman" w:hAnsi="Tahoma" w:cs="Tahoma"/>
          <w:b/>
          <w:kern w:val="0"/>
          <w:sz w:val="21"/>
          <w:szCs w:val="21"/>
          <w:lang w:eastAsia="cs-CZ"/>
          <w14:ligatures w14:val="none"/>
        </w:rPr>
      </w:pPr>
    </w:p>
    <w:tbl>
      <w:tblPr>
        <w:tblW w:w="10208" w:type="dxa"/>
        <w:tblInd w:w="-792" w:type="dxa"/>
        <w:tblLayout w:type="fixed"/>
        <w:tblLook w:val="01E0" w:firstRow="1" w:lastRow="1" w:firstColumn="1" w:lastColumn="1" w:noHBand="0" w:noVBand="0"/>
      </w:tblPr>
      <w:tblGrid>
        <w:gridCol w:w="1232"/>
        <w:gridCol w:w="369"/>
        <w:gridCol w:w="4339"/>
        <w:gridCol w:w="2827"/>
        <w:gridCol w:w="1242"/>
        <w:gridCol w:w="199"/>
      </w:tblGrid>
      <w:tr w:rsidR="00555828" w:rsidRPr="008641E4" w14:paraId="5E9A40E7" w14:textId="77777777" w:rsidTr="007542A5">
        <w:trPr>
          <w:trHeight w:val="439"/>
        </w:trPr>
        <w:tc>
          <w:tcPr>
            <w:tcW w:w="1601" w:type="dxa"/>
            <w:gridSpan w:val="2"/>
          </w:tcPr>
          <w:p w14:paraId="23DBB0A7" w14:textId="2AE59DC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Pr>
                <w:rFonts w:ascii="Tahoma" w:eastAsia="Times New Roman" w:hAnsi="Tahoma" w:cs="Tahoma"/>
                <w:kern w:val="0"/>
                <w:sz w:val="21"/>
                <w:szCs w:val="21"/>
                <w:lang w:eastAsia="cs-CZ"/>
                <w14:ligatures w14:val="none"/>
              </w:rPr>
              <w:t>T</w:t>
            </w:r>
            <w:r w:rsidRPr="008641E4">
              <w:rPr>
                <w:rFonts w:ascii="Tahoma" w:eastAsia="Times New Roman" w:hAnsi="Tahoma" w:cs="Tahoma"/>
                <w:kern w:val="0"/>
                <w:sz w:val="21"/>
                <w:szCs w:val="21"/>
                <w:lang w:eastAsia="cs-CZ"/>
                <w14:ligatures w14:val="none"/>
              </w:rPr>
              <w:t>elefon:</w:t>
            </w:r>
          </w:p>
        </w:tc>
        <w:tc>
          <w:tcPr>
            <w:tcW w:w="4339" w:type="dxa"/>
          </w:tcPr>
          <w:p w14:paraId="3E14B9E1"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Vyřizuje, email:</w:t>
            </w:r>
          </w:p>
        </w:tc>
        <w:tc>
          <w:tcPr>
            <w:tcW w:w="2827" w:type="dxa"/>
          </w:tcPr>
          <w:p w14:paraId="3C2BC3F5" w14:textId="77777777" w:rsidR="00555828" w:rsidRPr="008641E4" w:rsidRDefault="00555828" w:rsidP="007542A5">
            <w:pPr>
              <w:spacing w:after="0" w:line="240" w:lineRule="auto"/>
              <w:rPr>
                <w:rFonts w:ascii="Times New Roman" w:eastAsia="Times New Roman" w:hAnsi="Times New Roman" w:cs="Times New Roman"/>
                <w:kern w:val="0"/>
                <w:lang w:eastAsia="cs-CZ"/>
                <w14:ligatures w14:val="none"/>
              </w:rPr>
            </w:pPr>
          </w:p>
        </w:tc>
        <w:tc>
          <w:tcPr>
            <w:tcW w:w="1441" w:type="dxa"/>
            <w:gridSpan w:val="2"/>
          </w:tcPr>
          <w:p w14:paraId="760951F6" w14:textId="77777777" w:rsidR="00555828" w:rsidRPr="008641E4" w:rsidRDefault="00555828" w:rsidP="007542A5">
            <w:r w:rsidRPr="009E2A62">
              <w:rPr>
                <w:rFonts w:ascii="Tahoma" w:hAnsi="Tahoma" w:cs="Tahoma"/>
                <w:sz w:val="21"/>
                <w:szCs w:val="21"/>
              </w:rPr>
              <w:t>Kancelář č.</w:t>
            </w:r>
          </w:p>
        </w:tc>
      </w:tr>
      <w:tr w:rsidR="00555828" w:rsidRPr="008641E4" w14:paraId="0CB13F8B" w14:textId="77777777" w:rsidTr="007542A5">
        <w:trPr>
          <w:trHeight w:val="895"/>
        </w:trPr>
        <w:tc>
          <w:tcPr>
            <w:tcW w:w="1601" w:type="dxa"/>
            <w:gridSpan w:val="2"/>
          </w:tcPr>
          <w:p w14:paraId="5EB8C58B"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558 609 435</w:t>
            </w:r>
          </w:p>
        </w:tc>
        <w:tc>
          <w:tcPr>
            <w:tcW w:w="4339" w:type="dxa"/>
          </w:tcPr>
          <w:p w14:paraId="717F475A"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r w:rsidRPr="00444DCD">
              <w:rPr>
                <w:rFonts w:ascii="Tahoma" w:eastAsia="Times New Roman" w:hAnsi="Tahoma" w:cs="Tahoma"/>
                <w:kern w:val="0"/>
                <w:sz w:val="21"/>
                <w:szCs w:val="21"/>
                <w:lang w:eastAsia="cs-CZ"/>
                <w14:ligatures w14:val="none"/>
              </w:rPr>
              <w:t>Mgr. Renáta Zapletalová DiS.</w:t>
            </w:r>
          </w:p>
          <w:p w14:paraId="3AE12A14"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hyperlink r:id="rId4" w:history="1">
              <w:r w:rsidRPr="00444DCD">
                <w:rPr>
                  <w:rFonts w:ascii="Tahoma" w:eastAsia="Times New Roman" w:hAnsi="Tahoma" w:cs="Tahoma"/>
                  <w:kern w:val="0"/>
                  <w:sz w:val="21"/>
                  <w:szCs w:val="21"/>
                  <w:u w:val="single"/>
                  <w:lang w:eastAsia="cs-CZ"/>
                  <w14:ligatures w14:val="none"/>
                </w:rPr>
                <w:t>zapletalova.renata@frydekmistek.cz</w:t>
              </w:r>
            </w:hyperlink>
          </w:p>
          <w:p w14:paraId="6B1807C5"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p>
        </w:tc>
        <w:tc>
          <w:tcPr>
            <w:tcW w:w="2827" w:type="dxa"/>
          </w:tcPr>
          <w:p w14:paraId="13EF0DD9"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vedoucí oddělení sociálně právní ochrany dětí</w:t>
            </w:r>
          </w:p>
          <w:p w14:paraId="54F30C48"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p>
        </w:tc>
        <w:tc>
          <w:tcPr>
            <w:tcW w:w="1441" w:type="dxa"/>
            <w:gridSpan w:val="2"/>
          </w:tcPr>
          <w:p w14:paraId="0B2B06D1" w14:textId="77777777" w:rsidR="00555828" w:rsidRPr="008641E4" w:rsidRDefault="00555828" w:rsidP="007542A5">
            <w:r w:rsidRPr="009E2A62">
              <w:rPr>
                <w:rFonts w:ascii="Tahoma" w:hAnsi="Tahoma" w:cs="Tahoma"/>
                <w:sz w:val="21"/>
                <w:szCs w:val="21"/>
              </w:rPr>
              <w:t xml:space="preserve">     </w:t>
            </w:r>
            <w:r>
              <w:rPr>
                <w:rFonts w:ascii="Tahoma" w:hAnsi="Tahoma" w:cs="Tahoma"/>
                <w:sz w:val="21"/>
                <w:szCs w:val="21"/>
              </w:rPr>
              <w:t>421</w:t>
            </w:r>
          </w:p>
        </w:tc>
      </w:tr>
      <w:tr w:rsidR="00555828" w:rsidRPr="008641E4" w14:paraId="74856BB5" w14:textId="77777777" w:rsidTr="007542A5">
        <w:trPr>
          <w:trHeight w:val="769"/>
        </w:trPr>
        <w:tc>
          <w:tcPr>
            <w:tcW w:w="1601" w:type="dxa"/>
            <w:gridSpan w:val="2"/>
          </w:tcPr>
          <w:p w14:paraId="0E895654"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558 609 </w:t>
            </w:r>
            <w:r>
              <w:rPr>
                <w:rFonts w:ascii="Tahoma" w:eastAsia="Times New Roman" w:hAnsi="Tahoma" w:cs="Tahoma"/>
                <w:kern w:val="0"/>
                <w:sz w:val="21"/>
                <w:szCs w:val="21"/>
                <w:lang w:eastAsia="cs-CZ"/>
                <w14:ligatures w14:val="none"/>
              </w:rPr>
              <w:t>443</w:t>
            </w:r>
          </w:p>
        </w:tc>
        <w:tc>
          <w:tcPr>
            <w:tcW w:w="4339" w:type="dxa"/>
          </w:tcPr>
          <w:p w14:paraId="45C19B66" w14:textId="77777777" w:rsidR="00555828" w:rsidRDefault="00555828" w:rsidP="007542A5">
            <w:pPr>
              <w:spacing w:after="0" w:line="240" w:lineRule="auto"/>
              <w:rPr>
                <w:rFonts w:ascii="Tahoma" w:eastAsia="Times New Roman" w:hAnsi="Tahoma" w:cs="Tahoma"/>
                <w:kern w:val="0"/>
                <w:sz w:val="21"/>
                <w:szCs w:val="21"/>
                <w:lang w:eastAsia="cs-CZ"/>
                <w14:ligatures w14:val="none"/>
              </w:rPr>
            </w:pPr>
            <w:r>
              <w:rPr>
                <w:rFonts w:ascii="Tahoma" w:eastAsia="Times New Roman" w:hAnsi="Tahoma" w:cs="Tahoma"/>
                <w:kern w:val="0"/>
                <w:sz w:val="21"/>
                <w:szCs w:val="21"/>
                <w:lang w:eastAsia="cs-CZ"/>
                <w14:ligatures w14:val="none"/>
              </w:rPr>
              <w:t>Magda Smetanová</w:t>
            </w:r>
          </w:p>
          <w:p w14:paraId="2F736B74"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hyperlink r:id="rId5" w:history="1">
              <w:r w:rsidRPr="0099743A">
                <w:rPr>
                  <w:rStyle w:val="Hypertextovodkaz"/>
                  <w:rFonts w:ascii="Tahoma" w:eastAsia="Times New Roman" w:hAnsi="Tahoma" w:cs="Tahoma"/>
                  <w:kern w:val="0"/>
                  <w:sz w:val="21"/>
                  <w:szCs w:val="21"/>
                  <w:lang w:eastAsia="cs-CZ"/>
                  <w14:ligatures w14:val="none"/>
                </w:rPr>
                <w:t>smetanova.magda@frydekmistek.cz</w:t>
              </w:r>
            </w:hyperlink>
            <w:r>
              <w:rPr>
                <w:rFonts w:ascii="Tahoma" w:eastAsia="Times New Roman" w:hAnsi="Tahoma" w:cs="Tahoma"/>
                <w:kern w:val="0"/>
                <w:sz w:val="21"/>
                <w:szCs w:val="21"/>
                <w:lang w:eastAsia="cs-CZ"/>
                <w14:ligatures w14:val="none"/>
              </w:rPr>
              <w:t xml:space="preserve">                              </w:t>
            </w:r>
          </w:p>
        </w:tc>
        <w:tc>
          <w:tcPr>
            <w:tcW w:w="2827" w:type="dxa"/>
          </w:tcPr>
          <w:p w14:paraId="79EDFAFB"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Pr>
                <w:rFonts w:ascii="Tahoma" w:eastAsia="Times New Roman" w:hAnsi="Tahoma" w:cs="Tahoma"/>
                <w:kern w:val="0"/>
                <w:sz w:val="21"/>
                <w:szCs w:val="21"/>
                <w:lang w:eastAsia="cs-CZ"/>
                <w14:ligatures w14:val="none"/>
              </w:rPr>
              <w:t xml:space="preserve">Sociální pracovnice                                  </w:t>
            </w:r>
          </w:p>
        </w:tc>
        <w:tc>
          <w:tcPr>
            <w:tcW w:w="1441" w:type="dxa"/>
            <w:gridSpan w:val="2"/>
          </w:tcPr>
          <w:p w14:paraId="39C27814" w14:textId="08609631" w:rsidR="00555828" w:rsidRPr="008641E4" w:rsidRDefault="00555828" w:rsidP="007542A5">
            <w:r>
              <w:t xml:space="preserve">  </w:t>
            </w:r>
            <w:r w:rsidR="00822350">
              <w:t xml:space="preserve">    </w:t>
            </w:r>
            <w:r>
              <w:t>423</w:t>
            </w:r>
          </w:p>
        </w:tc>
      </w:tr>
      <w:tr w:rsidR="00555828" w:rsidRPr="008641E4" w14:paraId="041DDD7A" w14:textId="77777777" w:rsidTr="007542A5">
        <w:trPr>
          <w:trHeight w:val="781"/>
        </w:trPr>
        <w:tc>
          <w:tcPr>
            <w:tcW w:w="1601" w:type="dxa"/>
            <w:gridSpan w:val="2"/>
          </w:tcPr>
          <w:p w14:paraId="3D81F3CB"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558 609 696</w:t>
            </w:r>
          </w:p>
        </w:tc>
        <w:tc>
          <w:tcPr>
            <w:tcW w:w="4339" w:type="dxa"/>
          </w:tcPr>
          <w:p w14:paraId="3D728218"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r>
              <w:rPr>
                <w:rFonts w:ascii="Tahoma" w:eastAsia="Times New Roman" w:hAnsi="Tahoma" w:cs="Tahoma"/>
                <w:kern w:val="0"/>
                <w:sz w:val="21"/>
                <w:szCs w:val="21"/>
                <w:lang w:eastAsia="cs-CZ"/>
                <w14:ligatures w14:val="none"/>
              </w:rPr>
              <w:t>Mgr</w:t>
            </w:r>
            <w:r w:rsidRPr="00444DCD">
              <w:rPr>
                <w:rFonts w:ascii="Tahoma" w:eastAsia="Times New Roman" w:hAnsi="Tahoma" w:cs="Tahoma"/>
                <w:kern w:val="0"/>
                <w:sz w:val="21"/>
                <w:szCs w:val="21"/>
                <w:lang w:eastAsia="cs-CZ"/>
                <w14:ligatures w14:val="none"/>
              </w:rPr>
              <w:t>. Michaela Stavárková, DiS.</w:t>
            </w:r>
          </w:p>
          <w:p w14:paraId="6CF5BA44"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hyperlink r:id="rId6" w:history="1">
              <w:r w:rsidRPr="00444DCD">
                <w:rPr>
                  <w:rFonts w:ascii="Tahoma" w:eastAsia="Times New Roman" w:hAnsi="Tahoma" w:cs="Tahoma"/>
                  <w:kern w:val="0"/>
                  <w:sz w:val="21"/>
                  <w:szCs w:val="21"/>
                  <w:u w:val="single"/>
                  <w:lang w:eastAsia="cs-CZ"/>
                  <w14:ligatures w14:val="none"/>
                </w:rPr>
                <w:t>stavarkova.michaela@frydekmistek.cz</w:t>
              </w:r>
            </w:hyperlink>
          </w:p>
          <w:p w14:paraId="29F7C3F5" w14:textId="77777777" w:rsidR="00555828" w:rsidRPr="00444DCD" w:rsidRDefault="00555828" w:rsidP="007542A5">
            <w:pPr>
              <w:spacing w:after="0" w:line="240" w:lineRule="auto"/>
              <w:rPr>
                <w:rFonts w:ascii="Tahoma" w:eastAsia="Times New Roman" w:hAnsi="Tahoma" w:cs="Tahoma"/>
                <w:kern w:val="0"/>
                <w:sz w:val="21"/>
                <w:szCs w:val="21"/>
                <w:lang w:eastAsia="cs-CZ"/>
                <w14:ligatures w14:val="none"/>
              </w:rPr>
            </w:pPr>
          </w:p>
        </w:tc>
        <w:tc>
          <w:tcPr>
            <w:tcW w:w="2827" w:type="dxa"/>
          </w:tcPr>
          <w:p w14:paraId="21254E38"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r w:rsidRPr="008641E4">
              <w:rPr>
                <w:rFonts w:ascii="Tahoma" w:eastAsia="Times New Roman" w:hAnsi="Tahoma" w:cs="Tahoma"/>
                <w:kern w:val="0"/>
                <w:sz w:val="21"/>
                <w:szCs w:val="21"/>
                <w:lang w:eastAsia="cs-CZ"/>
                <w14:ligatures w14:val="none"/>
              </w:rPr>
              <w:t xml:space="preserve">kurátor pro mládež     </w:t>
            </w:r>
          </w:p>
          <w:p w14:paraId="2F36875F" w14:textId="77777777" w:rsidR="00555828" w:rsidRPr="008641E4" w:rsidRDefault="00555828" w:rsidP="007542A5">
            <w:pPr>
              <w:spacing w:after="0" w:line="240" w:lineRule="auto"/>
              <w:rPr>
                <w:rFonts w:ascii="Tahoma" w:eastAsia="Times New Roman" w:hAnsi="Tahoma" w:cs="Tahoma"/>
                <w:kern w:val="0"/>
                <w:sz w:val="21"/>
                <w:szCs w:val="21"/>
                <w:lang w:eastAsia="cs-CZ"/>
                <w14:ligatures w14:val="none"/>
              </w:rPr>
            </w:pPr>
          </w:p>
        </w:tc>
        <w:tc>
          <w:tcPr>
            <w:tcW w:w="1441" w:type="dxa"/>
            <w:gridSpan w:val="2"/>
          </w:tcPr>
          <w:p w14:paraId="59F416DC" w14:textId="77777777" w:rsidR="00555828" w:rsidRPr="008641E4" w:rsidRDefault="00555828" w:rsidP="007542A5">
            <w:r w:rsidRPr="009E2A62">
              <w:rPr>
                <w:rFonts w:ascii="Tahoma" w:hAnsi="Tahoma" w:cs="Tahoma"/>
                <w:sz w:val="21"/>
                <w:szCs w:val="21"/>
              </w:rPr>
              <w:t xml:space="preserve">     338</w:t>
            </w:r>
          </w:p>
        </w:tc>
      </w:tr>
      <w:tr w:rsidR="00555828" w:rsidRPr="008641E4" w14:paraId="305CC0D4" w14:textId="77777777" w:rsidTr="007542A5">
        <w:trPr>
          <w:gridAfter w:val="1"/>
          <w:wAfter w:w="199" w:type="dxa"/>
          <w:trHeight w:val="292"/>
        </w:trPr>
        <w:tc>
          <w:tcPr>
            <w:tcW w:w="1232" w:type="dxa"/>
          </w:tcPr>
          <w:p w14:paraId="3A27F786"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p>
          <w:p w14:paraId="04C0D61D" w14:textId="5B99E661" w:rsidR="00555828" w:rsidRPr="008641E4"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Pondělí</w:t>
            </w:r>
          </w:p>
        </w:tc>
        <w:tc>
          <w:tcPr>
            <w:tcW w:w="8777" w:type="dxa"/>
            <w:gridSpan w:val="4"/>
          </w:tcPr>
          <w:p w14:paraId="74E2DB77"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 xml:space="preserve">  </w:t>
            </w:r>
          </w:p>
          <w:p w14:paraId="3E0A68A1" w14:textId="77777777" w:rsidR="00555828" w:rsidRPr="008641E4"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 xml:space="preserve">8.00 hod. </w:t>
            </w:r>
            <w:r>
              <w:rPr>
                <w:rFonts w:ascii="Tahoma" w:eastAsia="Times New Roman" w:hAnsi="Tahoma" w:cs="Tahoma"/>
                <w:b/>
                <w:kern w:val="0"/>
                <w:sz w:val="21"/>
                <w:szCs w:val="21"/>
                <w:lang w:eastAsia="cs-CZ"/>
                <w14:ligatures w14:val="none"/>
              </w:rPr>
              <w:t xml:space="preserve">- </w:t>
            </w:r>
            <w:r w:rsidRPr="008641E4">
              <w:rPr>
                <w:rFonts w:ascii="Tahoma" w:eastAsia="Times New Roman" w:hAnsi="Tahoma" w:cs="Tahoma"/>
                <w:b/>
                <w:kern w:val="0"/>
                <w:sz w:val="21"/>
                <w:szCs w:val="21"/>
                <w:lang w:eastAsia="cs-CZ"/>
                <w14:ligatures w14:val="none"/>
              </w:rPr>
              <w:t>17.00 hod.</w:t>
            </w:r>
          </w:p>
        </w:tc>
      </w:tr>
      <w:tr w:rsidR="00555828" w:rsidRPr="008641E4" w14:paraId="19146343" w14:textId="77777777" w:rsidTr="007542A5">
        <w:trPr>
          <w:gridAfter w:val="1"/>
          <w:wAfter w:w="199" w:type="dxa"/>
          <w:trHeight w:val="256"/>
        </w:trPr>
        <w:tc>
          <w:tcPr>
            <w:tcW w:w="1232" w:type="dxa"/>
          </w:tcPr>
          <w:p w14:paraId="715E64C5" w14:textId="77777777" w:rsidR="00555828" w:rsidRPr="008641E4"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Středa</w:t>
            </w:r>
          </w:p>
        </w:tc>
        <w:tc>
          <w:tcPr>
            <w:tcW w:w="8777" w:type="dxa"/>
            <w:gridSpan w:val="4"/>
          </w:tcPr>
          <w:p w14:paraId="4D4CDF03" w14:textId="77777777" w:rsidR="00555828" w:rsidRPr="008641E4"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 xml:space="preserve">8.00 hod. </w:t>
            </w:r>
            <w:r>
              <w:rPr>
                <w:rFonts w:ascii="Tahoma" w:eastAsia="Times New Roman" w:hAnsi="Tahoma" w:cs="Tahoma"/>
                <w:b/>
                <w:kern w:val="0"/>
                <w:sz w:val="21"/>
                <w:szCs w:val="21"/>
                <w:lang w:eastAsia="cs-CZ"/>
                <w14:ligatures w14:val="none"/>
              </w:rPr>
              <w:t xml:space="preserve">- </w:t>
            </w:r>
            <w:r w:rsidRPr="008641E4">
              <w:rPr>
                <w:rFonts w:ascii="Tahoma" w:eastAsia="Times New Roman" w:hAnsi="Tahoma" w:cs="Tahoma"/>
                <w:b/>
                <w:kern w:val="0"/>
                <w:sz w:val="21"/>
                <w:szCs w:val="21"/>
                <w:lang w:eastAsia="cs-CZ"/>
                <w14:ligatures w14:val="none"/>
              </w:rPr>
              <w:t xml:space="preserve">17.00 hod. </w:t>
            </w:r>
          </w:p>
        </w:tc>
      </w:tr>
      <w:tr w:rsidR="00555828" w:rsidRPr="008641E4" w14:paraId="0E318B16" w14:textId="77777777" w:rsidTr="007542A5">
        <w:trPr>
          <w:gridAfter w:val="1"/>
          <w:wAfter w:w="199" w:type="dxa"/>
          <w:trHeight w:val="1587"/>
        </w:trPr>
        <w:tc>
          <w:tcPr>
            <w:tcW w:w="1232" w:type="dxa"/>
          </w:tcPr>
          <w:p w14:paraId="3E30CDC4"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Čtvrtek</w:t>
            </w:r>
          </w:p>
          <w:p w14:paraId="7152BC88" w14:textId="77777777" w:rsidR="00555828" w:rsidRDefault="00555828" w:rsidP="007542A5">
            <w:pPr>
              <w:rPr>
                <w:rFonts w:ascii="Tahoma" w:eastAsia="Times New Roman" w:hAnsi="Tahoma" w:cs="Tahoma"/>
                <w:sz w:val="21"/>
                <w:szCs w:val="21"/>
                <w:lang w:eastAsia="cs-CZ"/>
              </w:rPr>
            </w:pPr>
          </w:p>
          <w:p w14:paraId="0E178F91" w14:textId="77777777" w:rsidR="00555828" w:rsidRDefault="00555828" w:rsidP="007542A5">
            <w:pPr>
              <w:rPr>
                <w:rFonts w:ascii="Tahoma" w:eastAsia="Times New Roman" w:hAnsi="Tahoma" w:cs="Tahoma"/>
                <w:sz w:val="21"/>
                <w:szCs w:val="21"/>
                <w:lang w:eastAsia="cs-CZ"/>
              </w:rPr>
            </w:pPr>
          </w:p>
          <w:p w14:paraId="38EB5F5B" w14:textId="77777777" w:rsidR="00555828" w:rsidRPr="00CC5CF1" w:rsidRDefault="00555828" w:rsidP="007542A5">
            <w:pPr>
              <w:rPr>
                <w:rFonts w:ascii="Tahoma" w:eastAsia="Times New Roman" w:hAnsi="Tahoma" w:cs="Tahoma"/>
                <w:sz w:val="21"/>
                <w:szCs w:val="21"/>
                <w:lang w:eastAsia="cs-CZ"/>
              </w:rPr>
            </w:pPr>
          </w:p>
        </w:tc>
        <w:tc>
          <w:tcPr>
            <w:tcW w:w="8777" w:type="dxa"/>
            <w:gridSpan w:val="4"/>
          </w:tcPr>
          <w:p w14:paraId="38B5E9F2"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r w:rsidRPr="008641E4">
              <w:rPr>
                <w:rFonts w:ascii="Tahoma" w:eastAsia="Times New Roman" w:hAnsi="Tahoma" w:cs="Tahoma"/>
                <w:b/>
                <w:kern w:val="0"/>
                <w:sz w:val="21"/>
                <w:szCs w:val="21"/>
                <w:lang w:eastAsia="cs-CZ"/>
                <w14:ligatures w14:val="none"/>
              </w:rPr>
              <w:t>13.00 hod.</w:t>
            </w:r>
            <w:r>
              <w:rPr>
                <w:rFonts w:ascii="Tahoma" w:eastAsia="Times New Roman" w:hAnsi="Tahoma" w:cs="Tahoma"/>
                <w:b/>
                <w:kern w:val="0"/>
                <w:sz w:val="21"/>
                <w:szCs w:val="21"/>
                <w:lang w:eastAsia="cs-CZ"/>
                <w14:ligatures w14:val="none"/>
              </w:rPr>
              <w:t xml:space="preserve"> - </w:t>
            </w:r>
            <w:r w:rsidRPr="008641E4">
              <w:rPr>
                <w:rFonts w:ascii="Tahoma" w:eastAsia="Times New Roman" w:hAnsi="Tahoma" w:cs="Tahoma"/>
                <w:b/>
                <w:kern w:val="0"/>
                <w:sz w:val="21"/>
                <w:szCs w:val="21"/>
                <w:lang w:eastAsia="cs-CZ"/>
                <w14:ligatures w14:val="none"/>
              </w:rPr>
              <w:t>15.00 hod.</w:t>
            </w:r>
          </w:p>
          <w:p w14:paraId="35DCB21F"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p>
          <w:p w14:paraId="6EAA147E"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p>
          <w:p w14:paraId="0DE11FAF" w14:textId="52374880" w:rsidR="00555828" w:rsidRPr="000A54B1" w:rsidRDefault="00555828" w:rsidP="007542A5">
            <w:pPr>
              <w:spacing w:after="0" w:line="240" w:lineRule="auto"/>
              <w:rPr>
                <w:rFonts w:ascii="Tahoma" w:eastAsia="Times New Roman" w:hAnsi="Tahoma" w:cs="Tahoma"/>
                <w:bCs/>
                <w:kern w:val="0"/>
                <w:sz w:val="21"/>
                <w:szCs w:val="21"/>
                <w:lang w:eastAsia="cs-CZ"/>
                <w14:ligatures w14:val="none"/>
              </w:rPr>
            </w:pPr>
            <w:r w:rsidRPr="000A54B1">
              <w:rPr>
                <w:rFonts w:ascii="Tahoma" w:eastAsia="Times New Roman" w:hAnsi="Tahoma" w:cs="Tahoma"/>
                <w:bCs/>
                <w:kern w:val="0"/>
                <w:sz w:val="21"/>
                <w:szCs w:val="21"/>
                <w:lang w:eastAsia="cs-CZ"/>
                <w14:ligatures w14:val="none"/>
              </w:rPr>
              <w:t>Aktualizace ke dni:</w:t>
            </w:r>
            <w:r w:rsidR="000C5E97" w:rsidRPr="000A54B1">
              <w:rPr>
                <w:rFonts w:ascii="Tahoma" w:eastAsia="Times New Roman" w:hAnsi="Tahoma" w:cs="Tahoma"/>
                <w:bCs/>
                <w:kern w:val="0"/>
                <w:sz w:val="21"/>
                <w:szCs w:val="21"/>
                <w:lang w:eastAsia="cs-CZ"/>
                <w14:ligatures w14:val="none"/>
              </w:rPr>
              <w:t xml:space="preserve"> </w:t>
            </w:r>
            <w:r w:rsidRPr="000A54B1">
              <w:rPr>
                <w:rFonts w:ascii="Tahoma" w:eastAsia="Times New Roman" w:hAnsi="Tahoma" w:cs="Tahoma"/>
                <w:bCs/>
                <w:kern w:val="0"/>
                <w:sz w:val="21"/>
                <w:szCs w:val="21"/>
                <w:lang w:eastAsia="cs-CZ"/>
                <w14:ligatures w14:val="none"/>
              </w:rPr>
              <w:t>11.</w:t>
            </w:r>
            <w:r w:rsidR="000C5E97" w:rsidRPr="000A54B1">
              <w:rPr>
                <w:rFonts w:ascii="Tahoma" w:eastAsia="Times New Roman" w:hAnsi="Tahoma" w:cs="Tahoma"/>
                <w:bCs/>
                <w:kern w:val="0"/>
                <w:sz w:val="21"/>
                <w:szCs w:val="21"/>
                <w:lang w:eastAsia="cs-CZ"/>
                <w14:ligatures w14:val="none"/>
              </w:rPr>
              <w:t xml:space="preserve"> </w:t>
            </w:r>
            <w:r w:rsidRPr="000A54B1">
              <w:rPr>
                <w:rFonts w:ascii="Tahoma" w:eastAsia="Times New Roman" w:hAnsi="Tahoma" w:cs="Tahoma"/>
                <w:bCs/>
                <w:kern w:val="0"/>
                <w:sz w:val="21"/>
                <w:szCs w:val="21"/>
                <w:lang w:eastAsia="cs-CZ"/>
                <w14:ligatures w14:val="none"/>
              </w:rPr>
              <w:t>05.</w:t>
            </w:r>
            <w:r w:rsidR="000C5E97" w:rsidRPr="000A54B1">
              <w:rPr>
                <w:rFonts w:ascii="Tahoma" w:eastAsia="Times New Roman" w:hAnsi="Tahoma" w:cs="Tahoma"/>
                <w:bCs/>
                <w:kern w:val="0"/>
                <w:sz w:val="21"/>
                <w:szCs w:val="21"/>
                <w:lang w:eastAsia="cs-CZ"/>
                <w14:ligatures w14:val="none"/>
              </w:rPr>
              <w:t xml:space="preserve"> </w:t>
            </w:r>
            <w:r w:rsidRPr="000A54B1">
              <w:rPr>
                <w:rFonts w:ascii="Tahoma" w:eastAsia="Times New Roman" w:hAnsi="Tahoma" w:cs="Tahoma"/>
                <w:bCs/>
                <w:kern w:val="0"/>
                <w:sz w:val="21"/>
                <w:szCs w:val="21"/>
                <w:lang w:eastAsia="cs-CZ"/>
                <w14:ligatures w14:val="none"/>
              </w:rPr>
              <w:t>2026</w:t>
            </w:r>
          </w:p>
          <w:p w14:paraId="1089446F"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p>
          <w:p w14:paraId="7D131137" w14:textId="77777777" w:rsidR="00555828" w:rsidRDefault="00555828" w:rsidP="007542A5">
            <w:pPr>
              <w:spacing w:after="0" w:line="240" w:lineRule="auto"/>
              <w:rPr>
                <w:rFonts w:ascii="Tahoma" w:eastAsia="Times New Roman" w:hAnsi="Tahoma" w:cs="Tahoma"/>
                <w:b/>
                <w:kern w:val="0"/>
                <w:sz w:val="21"/>
                <w:szCs w:val="21"/>
                <w:lang w:eastAsia="cs-CZ"/>
                <w14:ligatures w14:val="none"/>
              </w:rPr>
            </w:pPr>
          </w:p>
          <w:p w14:paraId="5F886257" w14:textId="77777777" w:rsidR="00555828" w:rsidRPr="008641E4" w:rsidRDefault="00555828" w:rsidP="007542A5">
            <w:pPr>
              <w:spacing w:after="0" w:line="240" w:lineRule="auto"/>
              <w:rPr>
                <w:rFonts w:ascii="Tahoma" w:eastAsia="Times New Roman" w:hAnsi="Tahoma" w:cs="Tahoma"/>
                <w:b/>
                <w:kern w:val="0"/>
                <w:sz w:val="21"/>
                <w:szCs w:val="21"/>
                <w:lang w:eastAsia="cs-CZ"/>
                <w14:ligatures w14:val="none"/>
              </w:rPr>
            </w:pPr>
          </w:p>
        </w:tc>
      </w:tr>
    </w:tbl>
    <w:p w14:paraId="1DB1788D" w14:textId="77777777" w:rsidR="00555828" w:rsidRDefault="00555828" w:rsidP="00555828">
      <w:pPr>
        <w:jc w:val="both"/>
        <w:rPr>
          <w:rFonts w:ascii="Tahoma" w:hAnsi="Tahoma" w:cs="Tahoma"/>
          <w:sz w:val="21"/>
          <w:szCs w:val="21"/>
        </w:rPr>
      </w:pPr>
    </w:p>
    <w:p w14:paraId="3C6A7D7C" w14:textId="77777777" w:rsidR="00555828" w:rsidRPr="008C4AC1" w:rsidRDefault="00555828" w:rsidP="00555828">
      <w:pPr>
        <w:jc w:val="both"/>
        <w:rPr>
          <w:rFonts w:ascii="Tahoma" w:hAnsi="Tahoma" w:cs="Tahoma"/>
          <w:sz w:val="21"/>
          <w:szCs w:val="21"/>
        </w:rPr>
      </w:pPr>
    </w:p>
    <w:p w14:paraId="0AA735A4" w14:textId="77777777" w:rsidR="00555828" w:rsidRDefault="00555828" w:rsidP="00555828">
      <w:pPr>
        <w:jc w:val="right"/>
        <w:rPr>
          <w:rFonts w:ascii="Tahoma" w:eastAsia="Times New Roman" w:hAnsi="Tahoma" w:cs="Tahoma"/>
          <w:b/>
          <w:kern w:val="0"/>
          <w:sz w:val="21"/>
          <w:szCs w:val="21"/>
          <w:lang w:eastAsia="cs-CZ"/>
          <w14:ligatures w14:val="none"/>
        </w:rPr>
      </w:pPr>
    </w:p>
    <w:p w14:paraId="4BC18D13" w14:textId="42783AE4" w:rsidR="00555828" w:rsidRDefault="00555828" w:rsidP="00555828">
      <w:pPr>
        <w:jc w:val="both"/>
        <w:rPr>
          <w:rFonts w:ascii="Tahoma" w:hAnsi="Tahoma" w:cs="Tahoma"/>
          <w:sz w:val="21"/>
          <w:szCs w:val="21"/>
        </w:rPr>
      </w:pPr>
    </w:p>
    <w:p w14:paraId="7FA4AC72" w14:textId="67A5E804" w:rsidR="00073AA0" w:rsidRPr="0020309C" w:rsidRDefault="00073AA0" w:rsidP="00C34EDE">
      <w:pPr>
        <w:jc w:val="both"/>
        <w:rPr>
          <w:rFonts w:ascii="Tahoma" w:hAnsi="Tahoma" w:cs="Tahoma"/>
          <w:sz w:val="21"/>
          <w:szCs w:val="21"/>
        </w:rPr>
      </w:pPr>
    </w:p>
    <w:sectPr w:rsidR="00073AA0" w:rsidRPr="00203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9C"/>
    <w:rsid w:val="00073AA0"/>
    <w:rsid w:val="000A54B1"/>
    <w:rsid w:val="000C2A5E"/>
    <w:rsid w:val="000C5E97"/>
    <w:rsid w:val="0020309C"/>
    <w:rsid w:val="002D23A4"/>
    <w:rsid w:val="00366416"/>
    <w:rsid w:val="0041474B"/>
    <w:rsid w:val="00555828"/>
    <w:rsid w:val="005C497A"/>
    <w:rsid w:val="00822350"/>
    <w:rsid w:val="009F3F66"/>
    <w:rsid w:val="00B30F5B"/>
    <w:rsid w:val="00B72B20"/>
    <w:rsid w:val="00C34EDE"/>
    <w:rsid w:val="00C43C5D"/>
    <w:rsid w:val="00F17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BD09"/>
  <w15:chartTrackingRefBased/>
  <w15:docId w15:val="{82BDE1C5-57D5-4716-A3A2-19A8B1E7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0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0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030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030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030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030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030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030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030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30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030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030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030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030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030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030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030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0309C"/>
    <w:rPr>
      <w:rFonts w:eastAsiaTheme="majorEastAsia" w:cstheme="majorBidi"/>
      <w:color w:val="272727" w:themeColor="text1" w:themeTint="D8"/>
    </w:rPr>
  </w:style>
  <w:style w:type="paragraph" w:styleId="Nzev">
    <w:name w:val="Title"/>
    <w:basedOn w:val="Normln"/>
    <w:next w:val="Normln"/>
    <w:link w:val="NzevChar"/>
    <w:uiPriority w:val="10"/>
    <w:qFormat/>
    <w:rsid w:val="00203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030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030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030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0309C"/>
    <w:pPr>
      <w:spacing w:before="160"/>
      <w:jc w:val="center"/>
    </w:pPr>
    <w:rPr>
      <w:i/>
      <w:iCs/>
      <w:color w:val="404040" w:themeColor="text1" w:themeTint="BF"/>
    </w:rPr>
  </w:style>
  <w:style w:type="character" w:customStyle="1" w:styleId="CittChar">
    <w:name w:val="Citát Char"/>
    <w:basedOn w:val="Standardnpsmoodstavce"/>
    <w:link w:val="Citt"/>
    <w:uiPriority w:val="29"/>
    <w:rsid w:val="0020309C"/>
    <w:rPr>
      <w:i/>
      <w:iCs/>
      <w:color w:val="404040" w:themeColor="text1" w:themeTint="BF"/>
    </w:rPr>
  </w:style>
  <w:style w:type="paragraph" w:styleId="Odstavecseseznamem">
    <w:name w:val="List Paragraph"/>
    <w:basedOn w:val="Normln"/>
    <w:uiPriority w:val="34"/>
    <w:qFormat/>
    <w:rsid w:val="0020309C"/>
    <w:pPr>
      <w:ind w:left="720"/>
      <w:contextualSpacing/>
    </w:pPr>
  </w:style>
  <w:style w:type="character" w:styleId="Zdraznnintenzivn">
    <w:name w:val="Intense Emphasis"/>
    <w:basedOn w:val="Standardnpsmoodstavce"/>
    <w:uiPriority w:val="21"/>
    <w:qFormat/>
    <w:rsid w:val="0020309C"/>
    <w:rPr>
      <w:i/>
      <w:iCs/>
      <w:color w:val="0F4761" w:themeColor="accent1" w:themeShade="BF"/>
    </w:rPr>
  </w:style>
  <w:style w:type="paragraph" w:styleId="Vrazncitt">
    <w:name w:val="Intense Quote"/>
    <w:basedOn w:val="Normln"/>
    <w:next w:val="Normln"/>
    <w:link w:val="VrazncittChar"/>
    <w:uiPriority w:val="30"/>
    <w:qFormat/>
    <w:rsid w:val="0020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0309C"/>
    <w:rPr>
      <w:i/>
      <w:iCs/>
      <w:color w:val="0F4761" w:themeColor="accent1" w:themeShade="BF"/>
    </w:rPr>
  </w:style>
  <w:style w:type="character" w:styleId="Odkazintenzivn">
    <w:name w:val="Intense Reference"/>
    <w:basedOn w:val="Standardnpsmoodstavce"/>
    <w:uiPriority w:val="32"/>
    <w:qFormat/>
    <w:rsid w:val="0020309C"/>
    <w:rPr>
      <w:b/>
      <w:bCs/>
      <w:smallCaps/>
      <w:color w:val="0F4761" w:themeColor="accent1" w:themeShade="BF"/>
      <w:spacing w:val="5"/>
    </w:rPr>
  </w:style>
  <w:style w:type="character" w:styleId="Hypertextovodkaz">
    <w:name w:val="Hyperlink"/>
    <w:basedOn w:val="Standardnpsmoodstavce"/>
    <w:uiPriority w:val="99"/>
    <w:unhideWhenUsed/>
    <w:rsid w:val="00C34EDE"/>
    <w:rPr>
      <w:color w:val="467886" w:themeColor="hyperlink"/>
      <w:u w:val="single"/>
    </w:rPr>
  </w:style>
  <w:style w:type="character" w:styleId="Nevyeenzmnka">
    <w:name w:val="Unresolved Mention"/>
    <w:basedOn w:val="Standardnpsmoodstavce"/>
    <w:uiPriority w:val="99"/>
    <w:semiHidden/>
    <w:unhideWhenUsed/>
    <w:rsid w:val="00B30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varkova.michaela@frydekmistek.cz" TargetMode="External"/><Relationship Id="rId5" Type="http://schemas.openxmlformats.org/officeDocument/2006/relationships/hyperlink" Target="mailto:smetanova.magda@frydekmistek.cz" TargetMode="External"/><Relationship Id="rId4" Type="http://schemas.openxmlformats.org/officeDocument/2006/relationships/hyperlink" Target="mailto:stopkova.miroslava@frydekmiste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5986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Smetanová</dc:creator>
  <cp:keywords/>
  <dc:description/>
  <cp:lastModifiedBy>Ida Káňová</cp:lastModifiedBy>
  <cp:revision>3</cp:revision>
  <cp:lastPrinted>2026-05-19T08:43:00Z</cp:lastPrinted>
  <dcterms:created xsi:type="dcterms:W3CDTF">2026-05-19T09:26:00Z</dcterms:created>
  <dcterms:modified xsi:type="dcterms:W3CDTF">2026-05-22T07:05:00Z</dcterms:modified>
</cp:coreProperties>
</file>