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405F" w14:textId="77777777" w:rsidR="00A3459E" w:rsidRDefault="00A3459E" w:rsidP="00A3459E">
      <w:pPr>
        <w:spacing w:after="0"/>
        <w:jc w:val="center"/>
        <w:rPr>
          <w:rFonts w:ascii="Tahoma" w:hAnsi="Tahoma" w:cs="Tahoma"/>
          <w:b/>
          <w:bCs/>
          <w:sz w:val="21"/>
          <w:szCs w:val="21"/>
        </w:rPr>
      </w:pPr>
      <w:r w:rsidRPr="00A3459E">
        <w:rPr>
          <w:rFonts w:ascii="Tahoma" w:hAnsi="Tahoma" w:cs="Tahoma"/>
          <w:b/>
          <w:bCs/>
          <w:sz w:val="21"/>
          <w:szCs w:val="21"/>
        </w:rPr>
        <w:t>Poskytování sociálně-právní ochrany nezletilým dětem</w:t>
      </w:r>
    </w:p>
    <w:p w14:paraId="6C62F7B3" w14:textId="77777777" w:rsidR="00A3459E" w:rsidRPr="00A3459E" w:rsidRDefault="00A3459E" w:rsidP="00A3459E">
      <w:pPr>
        <w:spacing w:after="0"/>
        <w:jc w:val="center"/>
        <w:rPr>
          <w:rFonts w:ascii="Tahoma" w:hAnsi="Tahoma" w:cs="Tahoma"/>
          <w:b/>
          <w:bCs/>
          <w:sz w:val="21"/>
          <w:szCs w:val="21"/>
        </w:rPr>
      </w:pPr>
    </w:p>
    <w:p w14:paraId="0CB932D9" w14:textId="77777777" w:rsidR="00A3459E" w:rsidRDefault="00A3459E" w:rsidP="00A3459E">
      <w:pPr>
        <w:spacing w:after="0"/>
        <w:jc w:val="both"/>
        <w:rPr>
          <w:rFonts w:ascii="Tahoma" w:hAnsi="Tahoma" w:cs="Tahoma"/>
          <w:b/>
          <w:bCs/>
          <w:sz w:val="21"/>
          <w:szCs w:val="21"/>
        </w:rPr>
      </w:pPr>
      <w:r w:rsidRPr="00A3459E">
        <w:rPr>
          <w:rFonts w:ascii="Tahoma" w:hAnsi="Tahoma" w:cs="Tahoma"/>
          <w:b/>
          <w:bCs/>
          <w:sz w:val="21"/>
          <w:szCs w:val="21"/>
        </w:rPr>
        <w:t>Základní informace</w:t>
      </w:r>
    </w:p>
    <w:p w14:paraId="395E3446" w14:textId="77777777" w:rsidR="00A3459E" w:rsidRPr="00A3459E" w:rsidRDefault="00A3459E" w:rsidP="00A3459E">
      <w:pPr>
        <w:spacing w:after="0"/>
        <w:jc w:val="both"/>
        <w:rPr>
          <w:rFonts w:ascii="Tahoma" w:hAnsi="Tahoma" w:cs="Tahoma"/>
          <w:b/>
          <w:bCs/>
          <w:sz w:val="21"/>
          <w:szCs w:val="21"/>
        </w:rPr>
      </w:pPr>
    </w:p>
    <w:p w14:paraId="37E07172"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Sociálně-právní ochrana dětí (OSPOD) poskytuje podporu dětem a rodinám v situacích, kdy je ohrožen vývoj, bezpečí nebo řádná výchova dítěte. Cílem je chránit práva dítěte a podporovat rodinu při řešení obtížných životních situací. Ochrana je určena dětem do 18 let věku, které se ocitnou v situaci, již samy nebo jejich rodina nedokážou bez pomoci zvládnout.</w:t>
      </w:r>
    </w:p>
    <w:p w14:paraId="386CE83F"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OSPOD řeší zejména situace, kdy:</w:t>
      </w:r>
    </w:p>
    <w:p w14:paraId="45169DD1" w14:textId="77777777" w:rsidR="00A3459E" w:rsidRP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dítě nemá zajištěnou dostatečnou péči nebo bezpečné rodinné zázemí, </w:t>
      </w:r>
    </w:p>
    <w:p w14:paraId="6330C07C" w14:textId="6055382D" w:rsidR="007B62C1" w:rsidRDefault="007B62C1" w:rsidP="00A3459E">
      <w:pPr>
        <w:numPr>
          <w:ilvl w:val="0"/>
          <w:numId w:val="14"/>
        </w:numPr>
        <w:spacing w:after="0"/>
        <w:jc w:val="both"/>
        <w:rPr>
          <w:rFonts w:ascii="Tahoma" w:hAnsi="Tahoma" w:cs="Tahoma"/>
          <w:sz w:val="21"/>
          <w:szCs w:val="21"/>
        </w:rPr>
      </w:pPr>
      <w:r w:rsidRPr="007B62C1">
        <w:rPr>
          <w:rFonts w:ascii="Tahoma" w:hAnsi="Tahoma" w:cs="Tahoma"/>
          <w:sz w:val="21"/>
          <w:szCs w:val="21"/>
        </w:rPr>
        <w:t>dítě vyrůstá v silně konfliktním prostředí v souvislosti s rozvodem nebo rozchodem rodičů</w:t>
      </w:r>
      <w:r>
        <w:rPr>
          <w:rFonts w:ascii="Tahoma" w:hAnsi="Tahoma" w:cs="Tahoma"/>
          <w:sz w:val="21"/>
          <w:szCs w:val="21"/>
        </w:rPr>
        <w:t>,</w:t>
      </w:r>
    </w:p>
    <w:p w14:paraId="1A5C4ABC" w14:textId="3FA9766B" w:rsidR="00A3459E" w:rsidRP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dítě je zanedbáváno nebo je ohrožen jeho zdravý vývoj, </w:t>
      </w:r>
    </w:p>
    <w:p w14:paraId="61ABC73E" w14:textId="224A66B2" w:rsidR="00A3459E" w:rsidRP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dítě má </w:t>
      </w:r>
      <w:r w:rsidR="007B62C1">
        <w:rPr>
          <w:rFonts w:ascii="Tahoma" w:hAnsi="Tahoma" w:cs="Tahoma"/>
          <w:sz w:val="21"/>
          <w:szCs w:val="21"/>
        </w:rPr>
        <w:t xml:space="preserve">závažné </w:t>
      </w:r>
      <w:r w:rsidRPr="00A3459E">
        <w:rPr>
          <w:rFonts w:ascii="Tahoma" w:hAnsi="Tahoma" w:cs="Tahoma"/>
          <w:sz w:val="21"/>
          <w:szCs w:val="21"/>
        </w:rPr>
        <w:t>výchovné</w:t>
      </w:r>
      <w:r w:rsidR="007B62C1">
        <w:rPr>
          <w:rFonts w:ascii="Tahoma" w:hAnsi="Tahoma" w:cs="Tahoma"/>
          <w:sz w:val="21"/>
          <w:szCs w:val="21"/>
        </w:rPr>
        <w:t xml:space="preserve"> </w:t>
      </w:r>
      <w:r w:rsidRPr="00A3459E">
        <w:rPr>
          <w:rFonts w:ascii="Tahoma" w:hAnsi="Tahoma" w:cs="Tahoma"/>
          <w:sz w:val="21"/>
          <w:szCs w:val="21"/>
        </w:rPr>
        <w:t xml:space="preserve">problémy, </w:t>
      </w:r>
    </w:p>
    <w:p w14:paraId="1607712A" w14:textId="77777777" w:rsidR="00A3459E" w:rsidRP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v rodině se vyskytuje domácí násilí, závislosti nebo jiné rizikové chování, </w:t>
      </w:r>
    </w:p>
    <w:p w14:paraId="368D115B" w14:textId="77777777" w:rsidR="00A3459E" w:rsidRP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dítě žije v náhradním prostředí, například v ústavní výchově, </w:t>
      </w:r>
    </w:p>
    <w:p w14:paraId="21893AC8" w14:textId="1CDD46B9" w:rsidR="00A3459E" w:rsidRDefault="00A3459E" w:rsidP="00A3459E">
      <w:pPr>
        <w:numPr>
          <w:ilvl w:val="0"/>
          <w:numId w:val="14"/>
        </w:numPr>
        <w:spacing w:after="0"/>
        <w:jc w:val="both"/>
        <w:rPr>
          <w:rFonts w:ascii="Tahoma" w:hAnsi="Tahoma" w:cs="Tahoma"/>
          <w:sz w:val="21"/>
          <w:szCs w:val="21"/>
        </w:rPr>
      </w:pPr>
      <w:r w:rsidRPr="00A3459E">
        <w:rPr>
          <w:rFonts w:ascii="Tahoma" w:hAnsi="Tahoma" w:cs="Tahoma"/>
          <w:sz w:val="21"/>
          <w:szCs w:val="21"/>
        </w:rPr>
        <w:t xml:space="preserve">dítě je svěřeno do náhradní rodinné péče, například do pěstounské péče, poručnické péče nebo pěstounské péče na přechodnou dobu. </w:t>
      </w:r>
    </w:p>
    <w:p w14:paraId="3B7BA3E6" w14:textId="77777777" w:rsidR="00A3459E" w:rsidRPr="00A3459E" w:rsidRDefault="00A3459E" w:rsidP="00A3459E">
      <w:pPr>
        <w:spacing w:after="0"/>
        <w:ind w:left="360"/>
        <w:jc w:val="both"/>
        <w:rPr>
          <w:rFonts w:ascii="Tahoma" w:hAnsi="Tahoma" w:cs="Tahoma"/>
          <w:sz w:val="21"/>
          <w:szCs w:val="21"/>
        </w:rPr>
      </w:pPr>
    </w:p>
    <w:p w14:paraId="08219549" w14:textId="77777777" w:rsidR="00A3459E" w:rsidRDefault="00A3459E" w:rsidP="00A3459E">
      <w:pPr>
        <w:spacing w:after="0"/>
        <w:jc w:val="both"/>
        <w:rPr>
          <w:rFonts w:ascii="Tahoma" w:hAnsi="Tahoma" w:cs="Tahoma"/>
          <w:sz w:val="21"/>
          <w:szCs w:val="21"/>
        </w:rPr>
      </w:pPr>
      <w:r w:rsidRPr="00A3459E">
        <w:rPr>
          <w:rFonts w:ascii="Tahoma" w:hAnsi="Tahoma" w:cs="Tahoma"/>
          <w:sz w:val="21"/>
          <w:szCs w:val="21"/>
        </w:rPr>
        <w:t>OSPOD vždy hledá řešení, které je pro dítě nejbezpečnější a nejvhodnější.</w:t>
      </w:r>
    </w:p>
    <w:p w14:paraId="4B276B23" w14:textId="77777777" w:rsidR="00A3459E" w:rsidRPr="00A3459E" w:rsidRDefault="00A3459E" w:rsidP="00A3459E">
      <w:pPr>
        <w:spacing w:after="0"/>
        <w:jc w:val="both"/>
        <w:rPr>
          <w:rFonts w:ascii="Tahoma" w:hAnsi="Tahoma" w:cs="Tahoma"/>
          <w:sz w:val="21"/>
          <w:szCs w:val="21"/>
        </w:rPr>
      </w:pPr>
    </w:p>
    <w:p w14:paraId="0B68D57C" w14:textId="1AD95CD4"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 xml:space="preserve">Součástí činnosti oddělení sociálně-právní ochrany dětí je také výkon funkce kolizního opatrovníka. K tomu dochází zejména tehdy, pokud je třeba chránit zájmy dítěte v situaci možného střetu zájmů mezi dítětem a jeho zákonnými zástupci. Soud může v takovém případě </w:t>
      </w:r>
      <w:r w:rsidR="00753DAD">
        <w:rPr>
          <w:rFonts w:ascii="Tahoma" w:hAnsi="Tahoma" w:cs="Tahoma"/>
          <w:sz w:val="21"/>
          <w:szCs w:val="21"/>
        </w:rPr>
        <w:t>jmenovat</w:t>
      </w:r>
      <w:r w:rsidRPr="00A3459E">
        <w:rPr>
          <w:rFonts w:ascii="Tahoma" w:hAnsi="Tahoma" w:cs="Tahoma"/>
          <w:sz w:val="21"/>
          <w:szCs w:val="21"/>
        </w:rPr>
        <w:t xml:space="preserve"> dítěti </w:t>
      </w:r>
      <w:r w:rsidR="00753DAD">
        <w:rPr>
          <w:rFonts w:ascii="Tahoma" w:hAnsi="Tahoma" w:cs="Tahoma"/>
          <w:sz w:val="21"/>
          <w:szCs w:val="21"/>
        </w:rPr>
        <w:t xml:space="preserve">zástupce - </w:t>
      </w:r>
      <w:r w:rsidRPr="00A3459E">
        <w:rPr>
          <w:rFonts w:ascii="Tahoma" w:hAnsi="Tahoma" w:cs="Tahoma"/>
          <w:sz w:val="21"/>
          <w:szCs w:val="21"/>
        </w:rPr>
        <w:t xml:space="preserve">kolizního opatrovníka, nejčastěji </w:t>
      </w:r>
      <w:r>
        <w:rPr>
          <w:rFonts w:ascii="Tahoma" w:hAnsi="Tahoma" w:cs="Tahoma"/>
          <w:sz w:val="21"/>
          <w:szCs w:val="21"/>
        </w:rPr>
        <w:t>S</w:t>
      </w:r>
      <w:r w:rsidRPr="00A3459E">
        <w:rPr>
          <w:rFonts w:ascii="Tahoma" w:hAnsi="Tahoma" w:cs="Tahoma"/>
          <w:sz w:val="21"/>
          <w:szCs w:val="21"/>
        </w:rPr>
        <w:t>tatutární město Frýdek-Místek.</w:t>
      </w:r>
    </w:p>
    <w:p w14:paraId="36AFEA85" w14:textId="77777777" w:rsidR="00A3459E" w:rsidRDefault="00A3459E" w:rsidP="00A3459E">
      <w:pPr>
        <w:spacing w:after="0"/>
        <w:jc w:val="both"/>
        <w:rPr>
          <w:rFonts w:ascii="Tahoma" w:hAnsi="Tahoma" w:cs="Tahoma"/>
          <w:b/>
          <w:bCs/>
          <w:sz w:val="21"/>
          <w:szCs w:val="21"/>
        </w:rPr>
      </w:pPr>
    </w:p>
    <w:p w14:paraId="0274EBB9" w14:textId="077C513B" w:rsidR="001D535B" w:rsidRDefault="002039E7" w:rsidP="00A3459E">
      <w:pPr>
        <w:spacing w:after="0"/>
        <w:jc w:val="both"/>
        <w:rPr>
          <w:rFonts w:ascii="Tahoma" w:hAnsi="Tahoma" w:cs="Tahoma"/>
          <w:sz w:val="21"/>
          <w:szCs w:val="21"/>
        </w:rPr>
      </w:pPr>
      <w:r w:rsidRPr="002039E7">
        <w:rPr>
          <w:rFonts w:ascii="Tahoma" w:hAnsi="Tahoma" w:cs="Tahoma"/>
          <w:sz w:val="21"/>
          <w:szCs w:val="21"/>
        </w:rPr>
        <w:t>Sociálně-právní ochrana dětí se řídí zejména těmito právními předpisy. Základ tvoří zákon č. 359/1999 Sb., o sociálně-právní ochraně dětí, a dále zákon č. 89/2012 Sb., občanský zákoník, které upravují postupy a pravidla při ochraně práv a zájmů nezletilých dětí.</w:t>
      </w:r>
    </w:p>
    <w:p w14:paraId="14C6544E" w14:textId="77777777" w:rsidR="002039E7" w:rsidRDefault="002039E7" w:rsidP="00A3459E">
      <w:pPr>
        <w:spacing w:after="0"/>
        <w:jc w:val="both"/>
        <w:rPr>
          <w:rFonts w:ascii="Tahoma" w:hAnsi="Tahoma" w:cs="Tahoma"/>
          <w:b/>
          <w:bCs/>
          <w:sz w:val="21"/>
          <w:szCs w:val="21"/>
        </w:rPr>
      </w:pPr>
    </w:p>
    <w:p w14:paraId="37E34C05" w14:textId="7977AB3D" w:rsidR="00A3459E" w:rsidRDefault="00A3459E" w:rsidP="00A3459E">
      <w:pPr>
        <w:spacing w:after="0"/>
        <w:jc w:val="both"/>
        <w:rPr>
          <w:rFonts w:ascii="Tahoma" w:hAnsi="Tahoma" w:cs="Tahoma"/>
          <w:b/>
          <w:bCs/>
          <w:sz w:val="21"/>
          <w:szCs w:val="21"/>
        </w:rPr>
      </w:pPr>
      <w:r w:rsidRPr="00A3459E">
        <w:rPr>
          <w:rFonts w:ascii="Tahoma" w:hAnsi="Tahoma" w:cs="Tahoma"/>
          <w:b/>
          <w:bCs/>
          <w:sz w:val="21"/>
          <w:szCs w:val="21"/>
        </w:rPr>
        <w:t>Kdo</w:t>
      </w:r>
      <w:r>
        <w:rPr>
          <w:rFonts w:ascii="Tahoma" w:hAnsi="Tahoma" w:cs="Tahoma"/>
          <w:b/>
          <w:bCs/>
          <w:sz w:val="21"/>
          <w:szCs w:val="21"/>
        </w:rPr>
        <w:t xml:space="preserve"> se může na OSPOD obrátit</w:t>
      </w:r>
    </w:p>
    <w:p w14:paraId="07EBD876" w14:textId="77777777" w:rsidR="00A3459E" w:rsidRPr="00A3459E" w:rsidRDefault="00A3459E" w:rsidP="00A3459E">
      <w:pPr>
        <w:spacing w:after="0"/>
        <w:jc w:val="both"/>
        <w:rPr>
          <w:rFonts w:ascii="Tahoma" w:hAnsi="Tahoma" w:cs="Tahoma"/>
          <w:b/>
          <w:bCs/>
          <w:sz w:val="21"/>
          <w:szCs w:val="21"/>
        </w:rPr>
      </w:pPr>
    </w:p>
    <w:p w14:paraId="25E8368E"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Na OSPOD se může obrátit:</w:t>
      </w:r>
    </w:p>
    <w:p w14:paraId="5881BE26" w14:textId="77777777" w:rsidR="00A3459E" w:rsidRPr="00A3459E" w:rsidRDefault="00A3459E" w:rsidP="00A3459E">
      <w:pPr>
        <w:numPr>
          <w:ilvl w:val="0"/>
          <w:numId w:val="3"/>
        </w:numPr>
        <w:spacing w:after="0"/>
        <w:jc w:val="both"/>
        <w:rPr>
          <w:rFonts w:ascii="Tahoma" w:hAnsi="Tahoma" w:cs="Tahoma"/>
          <w:sz w:val="21"/>
          <w:szCs w:val="21"/>
        </w:rPr>
      </w:pPr>
      <w:r w:rsidRPr="00A3459E">
        <w:rPr>
          <w:rFonts w:ascii="Tahoma" w:hAnsi="Tahoma" w:cs="Tahoma"/>
          <w:sz w:val="21"/>
          <w:szCs w:val="21"/>
        </w:rPr>
        <w:t xml:space="preserve">každý občan, který má obavu o dítě nebo upozorňuje na porušování povinností vyplývajících z rodičovské odpovědnosti, </w:t>
      </w:r>
    </w:p>
    <w:p w14:paraId="0468AC79" w14:textId="77777777" w:rsidR="00A3459E" w:rsidRPr="00A3459E" w:rsidRDefault="00A3459E" w:rsidP="00A3459E">
      <w:pPr>
        <w:numPr>
          <w:ilvl w:val="0"/>
          <w:numId w:val="3"/>
        </w:numPr>
        <w:spacing w:after="0"/>
        <w:jc w:val="both"/>
        <w:rPr>
          <w:rFonts w:ascii="Tahoma" w:hAnsi="Tahoma" w:cs="Tahoma"/>
          <w:sz w:val="21"/>
          <w:szCs w:val="21"/>
        </w:rPr>
      </w:pPr>
      <w:r w:rsidRPr="00A3459E">
        <w:rPr>
          <w:rFonts w:ascii="Tahoma" w:hAnsi="Tahoma" w:cs="Tahoma"/>
          <w:sz w:val="21"/>
          <w:szCs w:val="21"/>
        </w:rPr>
        <w:t xml:space="preserve">rodič nebo jiná pečující osoba, </w:t>
      </w:r>
    </w:p>
    <w:p w14:paraId="3EAD4A51" w14:textId="77777777" w:rsidR="00A3459E" w:rsidRPr="00A3459E" w:rsidRDefault="00A3459E" w:rsidP="00A3459E">
      <w:pPr>
        <w:numPr>
          <w:ilvl w:val="0"/>
          <w:numId w:val="3"/>
        </w:numPr>
        <w:spacing w:after="0"/>
        <w:jc w:val="both"/>
        <w:rPr>
          <w:rFonts w:ascii="Tahoma" w:hAnsi="Tahoma" w:cs="Tahoma"/>
          <w:sz w:val="21"/>
          <w:szCs w:val="21"/>
        </w:rPr>
      </w:pPr>
      <w:r w:rsidRPr="00A3459E">
        <w:rPr>
          <w:rFonts w:ascii="Tahoma" w:hAnsi="Tahoma" w:cs="Tahoma"/>
          <w:sz w:val="21"/>
          <w:szCs w:val="21"/>
        </w:rPr>
        <w:t xml:space="preserve">samotné dítě, </w:t>
      </w:r>
    </w:p>
    <w:p w14:paraId="1908CD49" w14:textId="77777777" w:rsidR="00A3459E" w:rsidRPr="00A3459E" w:rsidRDefault="00A3459E" w:rsidP="00A3459E">
      <w:pPr>
        <w:numPr>
          <w:ilvl w:val="0"/>
          <w:numId w:val="3"/>
        </w:numPr>
        <w:spacing w:after="0"/>
        <w:jc w:val="both"/>
        <w:rPr>
          <w:rFonts w:ascii="Tahoma" w:hAnsi="Tahoma" w:cs="Tahoma"/>
          <w:sz w:val="21"/>
          <w:szCs w:val="21"/>
        </w:rPr>
      </w:pPr>
      <w:r w:rsidRPr="00A3459E">
        <w:rPr>
          <w:rFonts w:ascii="Tahoma" w:hAnsi="Tahoma" w:cs="Tahoma"/>
          <w:sz w:val="21"/>
          <w:szCs w:val="21"/>
        </w:rPr>
        <w:t xml:space="preserve">škola, zdravotnické zařízení nebo jiná instituce. </w:t>
      </w:r>
    </w:p>
    <w:p w14:paraId="01B8246B" w14:textId="66F3A1E0" w:rsidR="00A3459E" w:rsidRDefault="00A3459E" w:rsidP="00A3459E">
      <w:pPr>
        <w:spacing w:after="0"/>
        <w:jc w:val="both"/>
        <w:rPr>
          <w:rFonts w:ascii="Tahoma" w:hAnsi="Tahoma" w:cs="Tahoma"/>
          <w:sz w:val="21"/>
          <w:szCs w:val="21"/>
        </w:rPr>
      </w:pPr>
      <w:r w:rsidRPr="00A3459E">
        <w:rPr>
          <w:rFonts w:ascii="Tahoma" w:hAnsi="Tahoma" w:cs="Tahoma"/>
          <w:sz w:val="21"/>
          <w:szCs w:val="21"/>
        </w:rPr>
        <w:t xml:space="preserve">Podnět nebo žádost lze podat osobně, písemně, </w:t>
      </w:r>
      <w:r w:rsidR="00753DAD">
        <w:rPr>
          <w:rFonts w:ascii="Tahoma" w:hAnsi="Tahoma" w:cs="Tahoma"/>
          <w:sz w:val="21"/>
          <w:szCs w:val="21"/>
        </w:rPr>
        <w:t xml:space="preserve">telefonicky datovou schránkou, </w:t>
      </w:r>
      <w:r w:rsidR="00780778">
        <w:rPr>
          <w:rFonts w:ascii="Tahoma" w:hAnsi="Tahoma" w:cs="Tahoma"/>
          <w:sz w:val="21"/>
          <w:szCs w:val="21"/>
        </w:rPr>
        <w:t xml:space="preserve">e-mailem, prostřednictvím elektronické podatelny </w:t>
      </w:r>
      <w:r w:rsidRPr="00A3459E">
        <w:rPr>
          <w:rFonts w:ascii="Tahoma" w:hAnsi="Tahoma" w:cs="Tahoma"/>
          <w:sz w:val="21"/>
          <w:szCs w:val="21"/>
        </w:rPr>
        <w:t>nebo anonymně.</w:t>
      </w:r>
      <w:r w:rsidR="00E567EE">
        <w:rPr>
          <w:rFonts w:ascii="Tahoma" w:hAnsi="Tahoma" w:cs="Tahoma"/>
          <w:sz w:val="21"/>
          <w:szCs w:val="21"/>
        </w:rPr>
        <w:t xml:space="preserve"> </w:t>
      </w:r>
      <w:r w:rsidR="00E567EE" w:rsidRPr="00A3459E">
        <w:rPr>
          <w:rFonts w:ascii="Tahoma" w:hAnsi="Tahoma" w:cs="Tahoma"/>
          <w:sz w:val="21"/>
          <w:szCs w:val="21"/>
        </w:rPr>
        <w:t>Při osobním jednání je vhodné předložit občanský průkaz k prokázání totožnosti. V ostatních případech nejsou doklady vyžadovány.</w:t>
      </w:r>
    </w:p>
    <w:p w14:paraId="56B85BAA" w14:textId="205C3165" w:rsidR="00753DAD" w:rsidRDefault="00753DAD" w:rsidP="00753DAD">
      <w:pPr>
        <w:spacing w:after="0"/>
        <w:jc w:val="both"/>
        <w:rPr>
          <w:rFonts w:ascii="Tahoma" w:hAnsi="Tahoma" w:cs="Tahoma"/>
          <w:b/>
          <w:bCs/>
          <w:sz w:val="21"/>
          <w:szCs w:val="21"/>
        </w:rPr>
      </w:pPr>
      <w:r w:rsidRPr="00A3459E">
        <w:rPr>
          <w:rFonts w:ascii="Tahoma" w:hAnsi="Tahoma" w:cs="Tahoma"/>
          <w:sz w:val="21"/>
          <w:szCs w:val="21"/>
        </w:rPr>
        <w:t>Poskytování sociálně-právní ochrany dětí je bezplatné.</w:t>
      </w:r>
      <w:r>
        <w:rPr>
          <w:rFonts w:ascii="Tahoma" w:hAnsi="Tahoma" w:cs="Tahoma"/>
          <w:sz w:val="21"/>
          <w:szCs w:val="21"/>
        </w:rPr>
        <w:t xml:space="preserve"> </w:t>
      </w:r>
      <w:r w:rsidRPr="003B4C30">
        <w:rPr>
          <w:rFonts w:ascii="Tahoma" w:hAnsi="Tahoma" w:cs="Tahoma"/>
          <w:sz w:val="21"/>
          <w:szCs w:val="21"/>
        </w:rPr>
        <w:t>Každé oznámení nebo podnět se posuzuje a řeší bez zbytečného odkladu, co nejdříve podle jeho naléhavosti a závažnosti</w:t>
      </w:r>
      <w:r w:rsidR="00E567EE">
        <w:rPr>
          <w:rFonts w:ascii="Tahoma" w:hAnsi="Tahoma" w:cs="Tahoma"/>
          <w:sz w:val="21"/>
          <w:szCs w:val="21"/>
        </w:rPr>
        <w:t>.</w:t>
      </w:r>
    </w:p>
    <w:p w14:paraId="7853DC9E" w14:textId="77777777" w:rsidR="00A3459E" w:rsidRPr="00A3459E" w:rsidRDefault="00A3459E" w:rsidP="00A3459E">
      <w:pPr>
        <w:spacing w:after="0"/>
        <w:jc w:val="both"/>
        <w:rPr>
          <w:rFonts w:ascii="Tahoma" w:hAnsi="Tahoma" w:cs="Tahoma"/>
          <w:sz w:val="21"/>
          <w:szCs w:val="21"/>
        </w:rPr>
      </w:pPr>
    </w:p>
    <w:p w14:paraId="6BCB218A" w14:textId="5EBF6C49" w:rsidR="00A3459E" w:rsidRDefault="001D535B" w:rsidP="00A3459E">
      <w:pPr>
        <w:spacing w:after="0"/>
        <w:jc w:val="both"/>
        <w:rPr>
          <w:rFonts w:ascii="Tahoma" w:hAnsi="Tahoma" w:cs="Tahoma"/>
          <w:b/>
          <w:bCs/>
          <w:sz w:val="21"/>
          <w:szCs w:val="21"/>
        </w:rPr>
      </w:pPr>
      <w:r>
        <w:rPr>
          <w:rFonts w:ascii="Tahoma" w:hAnsi="Tahoma" w:cs="Tahoma"/>
          <w:b/>
          <w:bCs/>
          <w:sz w:val="21"/>
          <w:szCs w:val="21"/>
        </w:rPr>
        <w:t>Jaké jsou z</w:t>
      </w:r>
      <w:r w:rsidR="00A3459E" w:rsidRPr="001D535B">
        <w:rPr>
          <w:rFonts w:ascii="Tahoma" w:hAnsi="Tahoma" w:cs="Tahoma"/>
          <w:b/>
          <w:bCs/>
          <w:sz w:val="21"/>
          <w:szCs w:val="21"/>
        </w:rPr>
        <w:t>ásady a průběh poskytování sociálně-právní ochrany dětí</w:t>
      </w:r>
    </w:p>
    <w:p w14:paraId="4921224C" w14:textId="77777777" w:rsidR="001D535B" w:rsidRPr="001D535B" w:rsidRDefault="001D535B" w:rsidP="00A3459E">
      <w:pPr>
        <w:spacing w:after="0"/>
        <w:jc w:val="both"/>
        <w:rPr>
          <w:rFonts w:ascii="Tahoma" w:hAnsi="Tahoma" w:cs="Tahoma"/>
          <w:b/>
          <w:bCs/>
          <w:sz w:val="21"/>
          <w:szCs w:val="21"/>
        </w:rPr>
      </w:pPr>
    </w:p>
    <w:p w14:paraId="6AD28B57"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Při poskytování sociálně-právní ochrany dětí je vždy vycházeno z nejlepšího zájmu dítěte. To znamená, že se hledá řešení, které:</w:t>
      </w:r>
    </w:p>
    <w:p w14:paraId="2A386B23" w14:textId="77777777" w:rsidR="00A3459E" w:rsidRPr="00A3459E" w:rsidRDefault="00A3459E" w:rsidP="00A3459E">
      <w:pPr>
        <w:numPr>
          <w:ilvl w:val="0"/>
          <w:numId w:val="15"/>
        </w:numPr>
        <w:spacing w:after="0"/>
        <w:jc w:val="both"/>
        <w:rPr>
          <w:rFonts w:ascii="Tahoma" w:hAnsi="Tahoma" w:cs="Tahoma"/>
          <w:sz w:val="21"/>
          <w:szCs w:val="21"/>
        </w:rPr>
      </w:pPr>
      <w:r w:rsidRPr="00A3459E">
        <w:rPr>
          <w:rFonts w:ascii="Tahoma" w:hAnsi="Tahoma" w:cs="Tahoma"/>
          <w:sz w:val="21"/>
          <w:szCs w:val="21"/>
        </w:rPr>
        <w:t xml:space="preserve">chrání bezpečí dítěte, </w:t>
      </w:r>
    </w:p>
    <w:p w14:paraId="5172F229" w14:textId="77777777" w:rsidR="00A3459E" w:rsidRPr="00A3459E" w:rsidRDefault="00A3459E" w:rsidP="00A3459E">
      <w:pPr>
        <w:numPr>
          <w:ilvl w:val="0"/>
          <w:numId w:val="15"/>
        </w:numPr>
        <w:spacing w:after="0"/>
        <w:jc w:val="both"/>
        <w:rPr>
          <w:rFonts w:ascii="Tahoma" w:hAnsi="Tahoma" w:cs="Tahoma"/>
          <w:sz w:val="21"/>
          <w:szCs w:val="21"/>
        </w:rPr>
      </w:pPr>
      <w:r w:rsidRPr="00A3459E">
        <w:rPr>
          <w:rFonts w:ascii="Tahoma" w:hAnsi="Tahoma" w:cs="Tahoma"/>
          <w:sz w:val="21"/>
          <w:szCs w:val="21"/>
        </w:rPr>
        <w:t xml:space="preserve">podporuje jeho zdravý psychický i fyzický vývoj, </w:t>
      </w:r>
    </w:p>
    <w:p w14:paraId="41C0DD92" w14:textId="77777777" w:rsidR="00A3459E" w:rsidRPr="00A3459E" w:rsidRDefault="00A3459E" w:rsidP="00A3459E">
      <w:pPr>
        <w:numPr>
          <w:ilvl w:val="0"/>
          <w:numId w:val="15"/>
        </w:numPr>
        <w:spacing w:after="0"/>
        <w:jc w:val="both"/>
        <w:rPr>
          <w:rFonts w:ascii="Tahoma" w:hAnsi="Tahoma" w:cs="Tahoma"/>
          <w:sz w:val="21"/>
          <w:szCs w:val="21"/>
        </w:rPr>
      </w:pPr>
      <w:r w:rsidRPr="00A3459E">
        <w:rPr>
          <w:rFonts w:ascii="Tahoma" w:hAnsi="Tahoma" w:cs="Tahoma"/>
          <w:sz w:val="21"/>
          <w:szCs w:val="21"/>
        </w:rPr>
        <w:t xml:space="preserve">zajišťuje stabilní a vhodné rodinné prostředí, </w:t>
      </w:r>
    </w:p>
    <w:p w14:paraId="1F00F93E" w14:textId="77777777" w:rsidR="00A3459E" w:rsidRPr="00A3459E" w:rsidRDefault="00A3459E" w:rsidP="00A3459E">
      <w:pPr>
        <w:numPr>
          <w:ilvl w:val="0"/>
          <w:numId w:val="15"/>
        </w:numPr>
        <w:spacing w:after="0"/>
        <w:jc w:val="both"/>
        <w:rPr>
          <w:rFonts w:ascii="Tahoma" w:hAnsi="Tahoma" w:cs="Tahoma"/>
          <w:sz w:val="21"/>
          <w:szCs w:val="21"/>
        </w:rPr>
      </w:pPr>
      <w:r w:rsidRPr="00A3459E">
        <w:rPr>
          <w:rFonts w:ascii="Tahoma" w:hAnsi="Tahoma" w:cs="Tahoma"/>
          <w:sz w:val="21"/>
          <w:szCs w:val="21"/>
        </w:rPr>
        <w:t xml:space="preserve">respektuje potřeby dítěte s ohledem na jeho věk, </w:t>
      </w:r>
    </w:p>
    <w:p w14:paraId="036672C7" w14:textId="77777777" w:rsidR="00A3459E" w:rsidRPr="00A3459E" w:rsidRDefault="00A3459E" w:rsidP="00A3459E">
      <w:pPr>
        <w:numPr>
          <w:ilvl w:val="0"/>
          <w:numId w:val="15"/>
        </w:numPr>
        <w:spacing w:after="0"/>
        <w:jc w:val="both"/>
        <w:rPr>
          <w:rFonts w:ascii="Tahoma" w:hAnsi="Tahoma" w:cs="Tahoma"/>
          <w:sz w:val="21"/>
          <w:szCs w:val="21"/>
        </w:rPr>
      </w:pPr>
      <w:r w:rsidRPr="00A3459E">
        <w:rPr>
          <w:rFonts w:ascii="Tahoma" w:hAnsi="Tahoma" w:cs="Tahoma"/>
          <w:sz w:val="21"/>
          <w:szCs w:val="21"/>
        </w:rPr>
        <w:lastRenderedPageBreak/>
        <w:t xml:space="preserve">podporuje vztahy dítěte s rodiči, pokud je to v jeho zájmu. </w:t>
      </w:r>
    </w:p>
    <w:p w14:paraId="0C4DF910"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Poskytování sociálně-právní ochrany zpravidla zahrnuje:</w:t>
      </w:r>
    </w:p>
    <w:p w14:paraId="48B977A3" w14:textId="77777777" w:rsidR="00753DAD" w:rsidRDefault="00753DAD" w:rsidP="00A3459E">
      <w:pPr>
        <w:numPr>
          <w:ilvl w:val="0"/>
          <w:numId w:val="16"/>
        </w:numPr>
        <w:spacing w:after="0"/>
        <w:jc w:val="both"/>
        <w:rPr>
          <w:rFonts w:ascii="Tahoma" w:hAnsi="Tahoma" w:cs="Tahoma"/>
          <w:sz w:val="21"/>
          <w:szCs w:val="21"/>
        </w:rPr>
      </w:pPr>
      <w:r w:rsidRPr="00753DAD">
        <w:rPr>
          <w:rFonts w:ascii="Tahoma" w:hAnsi="Tahoma" w:cs="Tahoma"/>
          <w:sz w:val="21"/>
          <w:szCs w:val="21"/>
        </w:rPr>
        <w:t>přijetí oznámení nebo podnětu upozorňujícího na možnou ohroženost dítěte,</w:t>
      </w:r>
    </w:p>
    <w:p w14:paraId="302089FE" w14:textId="3BD3D5AF" w:rsidR="00A3459E" w:rsidRPr="00A3459E" w:rsidRDefault="00A3459E" w:rsidP="00A3459E">
      <w:pPr>
        <w:numPr>
          <w:ilvl w:val="0"/>
          <w:numId w:val="16"/>
        </w:numPr>
        <w:spacing w:after="0"/>
        <w:jc w:val="both"/>
        <w:rPr>
          <w:rFonts w:ascii="Tahoma" w:hAnsi="Tahoma" w:cs="Tahoma"/>
          <w:sz w:val="21"/>
          <w:szCs w:val="21"/>
        </w:rPr>
      </w:pPr>
      <w:r w:rsidRPr="00A3459E">
        <w:rPr>
          <w:rFonts w:ascii="Tahoma" w:hAnsi="Tahoma" w:cs="Tahoma"/>
          <w:sz w:val="21"/>
          <w:szCs w:val="21"/>
        </w:rPr>
        <w:t xml:space="preserve">zhodnocení situace dítěte, </w:t>
      </w:r>
    </w:p>
    <w:p w14:paraId="6B5AAB97" w14:textId="77777777" w:rsidR="00A3459E" w:rsidRPr="00A3459E" w:rsidRDefault="00A3459E" w:rsidP="00A3459E">
      <w:pPr>
        <w:numPr>
          <w:ilvl w:val="0"/>
          <w:numId w:val="16"/>
        </w:numPr>
        <w:spacing w:after="0"/>
        <w:jc w:val="both"/>
        <w:rPr>
          <w:rFonts w:ascii="Tahoma" w:hAnsi="Tahoma" w:cs="Tahoma"/>
          <w:sz w:val="21"/>
          <w:szCs w:val="21"/>
        </w:rPr>
      </w:pPr>
      <w:r w:rsidRPr="00A3459E">
        <w:rPr>
          <w:rFonts w:ascii="Tahoma" w:hAnsi="Tahoma" w:cs="Tahoma"/>
          <w:sz w:val="21"/>
          <w:szCs w:val="21"/>
        </w:rPr>
        <w:t xml:space="preserve">rozhovory s rodiči, dítětem a dalšími osobami, </w:t>
      </w:r>
    </w:p>
    <w:p w14:paraId="1075A34A" w14:textId="77777777" w:rsidR="00A3459E" w:rsidRPr="00A3459E" w:rsidRDefault="00A3459E" w:rsidP="00A3459E">
      <w:pPr>
        <w:numPr>
          <w:ilvl w:val="0"/>
          <w:numId w:val="16"/>
        </w:numPr>
        <w:spacing w:after="0"/>
        <w:jc w:val="both"/>
        <w:rPr>
          <w:rFonts w:ascii="Tahoma" w:hAnsi="Tahoma" w:cs="Tahoma"/>
          <w:sz w:val="21"/>
          <w:szCs w:val="21"/>
        </w:rPr>
      </w:pPr>
      <w:r w:rsidRPr="00A3459E">
        <w:rPr>
          <w:rFonts w:ascii="Tahoma" w:hAnsi="Tahoma" w:cs="Tahoma"/>
          <w:sz w:val="21"/>
          <w:szCs w:val="21"/>
        </w:rPr>
        <w:t xml:space="preserve">spolupráci se školou, lékaři, odbornými službami nebo soudem, </w:t>
      </w:r>
    </w:p>
    <w:p w14:paraId="0C0602DC" w14:textId="77777777" w:rsidR="00A3459E" w:rsidRPr="00A3459E" w:rsidRDefault="00A3459E" w:rsidP="00A3459E">
      <w:pPr>
        <w:numPr>
          <w:ilvl w:val="0"/>
          <w:numId w:val="16"/>
        </w:numPr>
        <w:spacing w:after="0"/>
        <w:jc w:val="both"/>
        <w:rPr>
          <w:rFonts w:ascii="Tahoma" w:hAnsi="Tahoma" w:cs="Tahoma"/>
          <w:sz w:val="21"/>
          <w:szCs w:val="21"/>
        </w:rPr>
      </w:pPr>
      <w:r w:rsidRPr="00A3459E">
        <w:rPr>
          <w:rFonts w:ascii="Tahoma" w:hAnsi="Tahoma" w:cs="Tahoma"/>
          <w:sz w:val="21"/>
          <w:szCs w:val="21"/>
        </w:rPr>
        <w:t xml:space="preserve">návrh vhodného řešení nebo doporučení pomoci, </w:t>
      </w:r>
    </w:p>
    <w:p w14:paraId="5DA87581" w14:textId="77777777" w:rsidR="00A3459E" w:rsidRPr="00A3459E" w:rsidRDefault="00A3459E" w:rsidP="00A3459E">
      <w:pPr>
        <w:numPr>
          <w:ilvl w:val="0"/>
          <w:numId w:val="16"/>
        </w:numPr>
        <w:spacing w:after="0"/>
        <w:jc w:val="both"/>
        <w:rPr>
          <w:rFonts w:ascii="Tahoma" w:hAnsi="Tahoma" w:cs="Tahoma"/>
          <w:sz w:val="21"/>
          <w:szCs w:val="21"/>
        </w:rPr>
      </w:pPr>
      <w:r w:rsidRPr="00A3459E">
        <w:rPr>
          <w:rFonts w:ascii="Tahoma" w:hAnsi="Tahoma" w:cs="Tahoma"/>
          <w:sz w:val="21"/>
          <w:szCs w:val="21"/>
        </w:rPr>
        <w:t xml:space="preserve">případné přijetí opatření na ochranu dítěte. </w:t>
      </w:r>
    </w:p>
    <w:p w14:paraId="22B0CFEC"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Sociální pracovník může s dítětem jednat i bez přítomnosti rodiče nebo jiné osoby, pokud je to nutné pro ochranu zájmů dítěte nebo zjištění jeho názoru.</w:t>
      </w:r>
    </w:p>
    <w:p w14:paraId="653EA585" w14:textId="77777777" w:rsidR="00A3459E" w:rsidRDefault="00A3459E" w:rsidP="00A3459E">
      <w:pPr>
        <w:spacing w:after="0"/>
        <w:jc w:val="both"/>
        <w:rPr>
          <w:rFonts w:ascii="Tahoma" w:hAnsi="Tahoma" w:cs="Tahoma"/>
          <w:sz w:val="21"/>
          <w:szCs w:val="21"/>
        </w:rPr>
      </w:pPr>
    </w:p>
    <w:p w14:paraId="3A034E49" w14:textId="77777777" w:rsidR="00A3459E" w:rsidRPr="00A3459E" w:rsidRDefault="00A3459E" w:rsidP="00A3459E">
      <w:pPr>
        <w:spacing w:after="0"/>
        <w:jc w:val="both"/>
        <w:rPr>
          <w:rFonts w:ascii="Tahoma" w:hAnsi="Tahoma" w:cs="Tahoma"/>
          <w:sz w:val="21"/>
          <w:szCs w:val="21"/>
        </w:rPr>
      </w:pPr>
    </w:p>
    <w:p w14:paraId="7F485988" w14:textId="2BBFE9E6" w:rsidR="001D535B" w:rsidRDefault="001D535B" w:rsidP="00A3459E">
      <w:pPr>
        <w:spacing w:after="0"/>
        <w:jc w:val="both"/>
        <w:rPr>
          <w:rFonts w:ascii="Tahoma" w:hAnsi="Tahoma" w:cs="Tahoma"/>
          <w:b/>
          <w:bCs/>
          <w:sz w:val="21"/>
          <w:szCs w:val="21"/>
        </w:rPr>
      </w:pPr>
      <w:r w:rsidRPr="001D535B">
        <w:rPr>
          <w:rFonts w:ascii="Tahoma" w:hAnsi="Tahoma" w:cs="Tahoma"/>
          <w:b/>
          <w:bCs/>
          <w:sz w:val="21"/>
          <w:szCs w:val="21"/>
        </w:rPr>
        <w:t>Co se očekává při spolupráci s</w:t>
      </w:r>
      <w:r>
        <w:rPr>
          <w:rFonts w:ascii="Tahoma" w:hAnsi="Tahoma" w:cs="Tahoma"/>
          <w:b/>
          <w:bCs/>
          <w:sz w:val="21"/>
          <w:szCs w:val="21"/>
        </w:rPr>
        <w:t> </w:t>
      </w:r>
      <w:r w:rsidRPr="001D535B">
        <w:rPr>
          <w:rFonts w:ascii="Tahoma" w:hAnsi="Tahoma" w:cs="Tahoma"/>
          <w:b/>
          <w:bCs/>
          <w:sz w:val="21"/>
          <w:szCs w:val="21"/>
        </w:rPr>
        <w:t>OSPOD</w:t>
      </w:r>
    </w:p>
    <w:p w14:paraId="604A7AC5" w14:textId="77777777" w:rsidR="001D535B" w:rsidRDefault="001D535B" w:rsidP="00A3459E">
      <w:pPr>
        <w:spacing w:after="0"/>
        <w:jc w:val="both"/>
        <w:rPr>
          <w:rFonts w:ascii="Tahoma" w:hAnsi="Tahoma" w:cs="Tahoma"/>
          <w:b/>
          <w:bCs/>
          <w:sz w:val="21"/>
          <w:szCs w:val="21"/>
        </w:rPr>
      </w:pPr>
    </w:p>
    <w:p w14:paraId="0EA6A250" w14:textId="77777777" w:rsidR="001D535B" w:rsidRPr="001D535B" w:rsidRDefault="001D535B" w:rsidP="001D535B">
      <w:pPr>
        <w:spacing w:after="0"/>
        <w:jc w:val="both"/>
        <w:rPr>
          <w:rFonts w:ascii="Tahoma" w:hAnsi="Tahoma" w:cs="Tahoma"/>
          <w:sz w:val="21"/>
          <w:szCs w:val="21"/>
        </w:rPr>
      </w:pPr>
      <w:r w:rsidRPr="001D535B">
        <w:rPr>
          <w:rFonts w:ascii="Tahoma" w:hAnsi="Tahoma" w:cs="Tahoma"/>
          <w:sz w:val="21"/>
          <w:szCs w:val="21"/>
        </w:rPr>
        <w:t>Při řešení situace je důležitá vzájemná spolupráce, aby bylo možné dítěti co nejlépe pomoci. Jde zejména o to:</w:t>
      </w:r>
    </w:p>
    <w:p w14:paraId="29AD8179" w14:textId="77777777" w:rsidR="001D535B" w:rsidRPr="001D535B" w:rsidRDefault="001D535B" w:rsidP="001D535B">
      <w:pPr>
        <w:numPr>
          <w:ilvl w:val="0"/>
          <w:numId w:val="18"/>
        </w:numPr>
        <w:spacing w:after="0"/>
        <w:jc w:val="both"/>
        <w:rPr>
          <w:rFonts w:ascii="Tahoma" w:hAnsi="Tahoma" w:cs="Tahoma"/>
          <w:sz w:val="21"/>
          <w:szCs w:val="21"/>
        </w:rPr>
      </w:pPr>
      <w:r w:rsidRPr="001D535B">
        <w:rPr>
          <w:rFonts w:ascii="Tahoma" w:hAnsi="Tahoma" w:cs="Tahoma"/>
          <w:sz w:val="21"/>
          <w:szCs w:val="21"/>
        </w:rPr>
        <w:t xml:space="preserve">poskytnout informace potřebné k posouzení situace dítěte, </w:t>
      </w:r>
    </w:p>
    <w:p w14:paraId="004CD175" w14:textId="77777777" w:rsidR="001D535B" w:rsidRPr="001D535B" w:rsidRDefault="001D535B" w:rsidP="001D535B">
      <w:pPr>
        <w:numPr>
          <w:ilvl w:val="0"/>
          <w:numId w:val="18"/>
        </w:numPr>
        <w:spacing w:after="0"/>
        <w:jc w:val="both"/>
        <w:rPr>
          <w:rFonts w:ascii="Tahoma" w:hAnsi="Tahoma" w:cs="Tahoma"/>
          <w:sz w:val="21"/>
          <w:szCs w:val="21"/>
        </w:rPr>
      </w:pPr>
      <w:r w:rsidRPr="001D535B">
        <w:rPr>
          <w:rFonts w:ascii="Tahoma" w:hAnsi="Tahoma" w:cs="Tahoma"/>
          <w:sz w:val="21"/>
          <w:szCs w:val="21"/>
        </w:rPr>
        <w:t xml:space="preserve">umožnit sociální šetření a být při něm nápomocen/a, </w:t>
      </w:r>
    </w:p>
    <w:p w14:paraId="1E0C2875" w14:textId="77777777" w:rsidR="001D535B" w:rsidRPr="001D535B" w:rsidRDefault="001D535B" w:rsidP="001D535B">
      <w:pPr>
        <w:numPr>
          <w:ilvl w:val="0"/>
          <w:numId w:val="18"/>
        </w:numPr>
        <w:spacing w:after="0"/>
        <w:jc w:val="both"/>
        <w:rPr>
          <w:rFonts w:ascii="Tahoma" w:hAnsi="Tahoma" w:cs="Tahoma"/>
          <w:sz w:val="21"/>
          <w:szCs w:val="21"/>
        </w:rPr>
      </w:pPr>
      <w:r w:rsidRPr="001D535B">
        <w:rPr>
          <w:rFonts w:ascii="Tahoma" w:hAnsi="Tahoma" w:cs="Tahoma"/>
          <w:sz w:val="21"/>
          <w:szCs w:val="21"/>
        </w:rPr>
        <w:t xml:space="preserve">zúčastnit se jednání s OSPOD nebo dalšími institucemi, </w:t>
      </w:r>
    </w:p>
    <w:p w14:paraId="5378D7C3" w14:textId="77777777" w:rsidR="001D535B" w:rsidRPr="001D535B" w:rsidRDefault="001D535B" w:rsidP="001D535B">
      <w:pPr>
        <w:numPr>
          <w:ilvl w:val="0"/>
          <w:numId w:val="18"/>
        </w:numPr>
        <w:spacing w:after="0"/>
        <w:jc w:val="both"/>
        <w:rPr>
          <w:rFonts w:ascii="Tahoma" w:hAnsi="Tahoma" w:cs="Tahoma"/>
          <w:sz w:val="21"/>
          <w:szCs w:val="21"/>
        </w:rPr>
      </w:pPr>
      <w:r w:rsidRPr="001D535B">
        <w:rPr>
          <w:rFonts w:ascii="Tahoma" w:hAnsi="Tahoma" w:cs="Tahoma"/>
          <w:sz w:val="21"/>
          <w:szCs w:val="21"/>
        </w:rPr>
        <w:t xml:space="preserve">spolupracovat při zjišťování, jak se dítěti daří a co potřebuje, </w:t>
      </w:r>
    </w:p>
    <w:p w14:paraId="5DFA3219" w14:textId="77777777" w:rsidR="001D535B" w:rsidRPr="001D535B" w:rsidRDefault="001D535B" w:rsidP="001D535B">
      <w:pPr>
        <w:numPr>
          <w:ilvl w:val="0"/>
          <w:numId w:val="18"/>
        </w:numPr>
        <w:spacing w:after="0"/>
        <w:jc w:val="both"/>
        <w:rPr>
          <w:rFonts w:ascii="Tahoma" w:hAnsi="Tahoma" w:cs="Tahoma"/>
          <w:sz w:val="21"/>
          <w:szCs w:val="21"/>
        </w:rPr>
      </w:pPr>
      <w:r w:rsidRPr="001D535B">
        <w:rPr>
          <w:rFonts w:ascii="Tahoma" w:hAnsi="Tahoma" w:cs="Tahoma"/>
          <w:sz w:val="21"/>
          <w:szCs w:val="21"/>
        </w:rPr>
        <w:t xml:space="preserve">podílet se na návrzích a realizaci opatření, která mohou dítěti pomoci. </w:t>
      </w:r>
    </w:p>
    <w:p w14:paraId="6260D640" w14:textId="77777777" w:rsidR="001D535B" w:rsidRPr="001D535B" w:rsidRDefault="001D535B" w:rsidP="001D535B">
      <w:pPr>
        <w:spacing w:after="0"/>
        <w:jc w:val="both"/>
        <w:rPr>
          <w:rFonts w:ascii="Tahoma" w:hAnsi="Tahoma" w:cs="Tahoma"/>
          <w:sz w:val="21"/>
          <w:szCs w:val="21"/>
        </w:rPr>
      </w:pPr>
      <w:r w:rsidRPr="001D535B">
        <w:rPr>
          <w:rFonts w:ascii="Tahoma" w:hAnsi="Tahoma" w:cs="Tahoma"/>
          <w:sz w:val="21"/>
          <w:szCs w:val="21"/>
        </w:rPr>
        <w:t>Oznamovatel může být (pokud nejde o anonymní podání) požádán o doplnění informací nebo upřesnění situace dítěte.</w:t>
      </w:r>
    </w:p>
    <w:p w14:paraId="515D8F8B" w14:textId="77777777" w:rsidR="001D535B" w:rsidRDefault="001D535B" w:rsidP="00A3459E">
      <w:pPr>
        <w:spacing w:after="0"/>
        <w:jc w:val="both"/>
        <w:rPr>
          <w:rFonts w:ascii="Tahoma" w:hAnsi="Tahoma" w:cs="Tahoma"/>
          <w:sz w:val="21"/>
          <w:szCs w:val="21"/>
        </w:rPr>
      </w:pPr>
    </w:p>
    <w:p w14:paraId="79C94CA4" w14:textId="77AF50DF" w:rsidR="00A3459E" w:rsidRPr="00A3459E" w:rsidRDefault="001D535B" w:rsidP="00A3459E">
      <w:pPr>
        <w:spacing w:after="0"/>
        <w:jc w:val="both"/>
        <w:rPr>
          <w:rFonts w:ascii="Tahoma" w:hAnsi="Tahoma" w:cs="Tahoma"/>
          <w:b/>
          <w:bCs/>
          <w:sz w:val="21"/>
          <w:szCs w:val="21"/>
        </w:rPr>
      </w:pPr>
      <w:r>
        <w:rPr>
          <w:rFonts w:ascii="Tahoma" w:hAnsi="Tahoma" w:cs="Tahoma"/>
          <w:b/>
          <w:bCs/>
          <w:sz w:val="21"/>
          <w:szCs w:val="21"/>
        </w:rPr>
        <w:t>Jaké jsou n</w:t>
      </w:r>
      <w:r w:rsidR="00A3459E" w:rsidRPr="00A3459E">
        <w:rPr>
          <w:rFonts w:ascii="Tahoma" w:hAnsi="Tahoma" w:cs="Tahoma"/>
          <w:b/>
          <w:bCs/>
          <w:sz w:val="21"/>
          <w:szCs w:val="21"/>
        </w:rPr>
        <w:t>ejčastější dotazy</w:t>
      </w:r>
    </w:p>
    <w:p w14:paraId="1D4EC51D" w14:textId="77777777" w:rsidR="001D535B" w:rsidRDefault="001D535B" w:rsidP="00A3459E">
      <w:pPr>
        <w:spacing w:after="0"/>
        <w:jc w:val="both"/>
        <w:rPr>
          <w:rFonts w:ascii="Tahoma" w:hAnsi="Tahoma" w:cs="Tahoma"/>
          <w:b/>
          <w:bCs/>
          <w:sz w:val="21"/>
          <w:szCs w:val="21"/>
        </w:rPr>
      </w:pPr>
    </w:p>
    <w:p w14:paraId="3A8E3660" w14:textId="0D58A8C2" w:rsidR="00A3459E" w:rsidRPr="002039E7" w:rsidRDefault="00A3459E" w:rsidP="00A3459E">
      <w:pPr>
        <w:spacing w:after="0"/>
        <w:jc w:val="both"/>
        <w:rPr>
          <w:rFonts w:ascii="Tahoma" w:hAnsi="Tahoma" w:cs="Tahoma"/>
          <w:sz w:val="21"/>
          <w:szCs w:val="21"/>
        </w:rPr>
      </w:pPr>
      <w:r w:rsidRPr="002039E7">
        <w:rPr>
          <w:rFonts w:ascii="Tahoma" w:hAnsi="Tahoma" w:cs="Tahoma"/>
          <w:sz w:val="21"/>
          <w:szCs w:val="21"/>
        </w:rPr>
        <w:t>Může OSPOD kontaktovat dítě přímo?</w:t>
      </w:r>
    </w:p>
    <w:p w14:paraId="7CC8D205"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Ano. OSPOD může dítě kontaktovat přímo, pokud je to potřebné k ochraně jeho práv a zájmů.</w:t>
      </w:r>
    </w:p>
    <w:p w14:paraId="3F2DFF28" w14:textId="77777777" w:rsidR="00A3459E" w:rsidRPr="002039E7" w:rsidRDefault="00A3459E" w:rsidP="00A3459E">
      <w:pPr>
        <w:spacing w:after="0"/>
        <w:jc w:val="both"/>
        <w:rPr>
          <w:rFonts w:ascii="Tahoma" w:hAnsi="Tahoma" w:cs="Tahoma"/>
          <w:sz w:val="21"/>
          <w:szCs w:val="21"/>
        </w:rPr>
      </w:pPr>
      <w:r w:rsidRPr="002039E7">
        <w:rPr>
          <w:rFonts w:ascii="Tahoma" w:hAnsi="Tahoma" w:cs="Tahoma"/>
          <w:sz w:val="21"/>
          <w:szCs w:val="21"/>
        </w:rPr>
        <w:t>Musí být rodič přítomen rozhovoru s dítětem?</w:t>
      </w:r>
    </w:p>
    <w:p w14:paraId="62A26663" w14:textId="03798CB4"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Nemusí. Sociální pracovník může s dítětem jednat samostatně</w:t>
      </w:r>
      <w:r w:rsidR="00220B1A">
        <w:rPr>
          <w:rFonts w:ascii="Tahoma" w:hAnsi="Tahoma" w:cs="Tahoma"/>
          <w:sz w:val="21"/>
          <w:szCs w:val="21"/>
        </w:rPr>
        <w:t>.</w:t>
      </w:r>
    </w:p>
    <w:p w14:paraId="0B3EE166" w14:textId="77777777" w:rsidR="00A3459E" w:rsidRPr="002039E7" w:rsidRDefault="00A3459E" w:rsidP="00A3459E">
      <w:pPr>
        <w:spacing w:after="0"/>
        <w:jc w:val="both"/>
        <w:rPr>
          <w:rFonts w:ascii="Tahoma" w:hAnsi="Tahoma" w:cs="Tahoma"/>
          <w:sz w:val="21"/>
          <w:szCs w:val="21"/>
        </w:rPr>
      </w:pPr>
      <w:r w:rsidRPr="002039E7">
        <w:rPr>
          <w:rFonts w:ascii="Tahoma" w:hAnsi="Tahoma" w:cs="Tahoma"/>
          <w:sz w:val="21"/>
          <w:szCs w:val="21"/>
        </w:rPr>
        <w:t>Jak postupovat při rozchodu nebo rozvodu rodičů?</w:t>
      </w:r>
    </w:p>
    <w:p w14:paraId="0659BC15" w14:textId="77777777"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OSPOD poskytuje rodičům základní informace, podporu a pomoc při řešení situace s ohledem na nejlepší zájem dítěte.</w:t>
      </w:r>
    </w:p>
    <w:p w14:paraId="735C17D0" w14:textId="77777777" w:rsidR="001D535B" w:rsidRDefault="001D535B" w:rsidP="00A3459E">
      <w:pPr>
        <w:spacing w:after="0"/>
        <w:jc w:val="both"/>
        <w:rPr>
          <w:rFonts w:ascii="Tahoma" w:hAnsi="Tahoma" w:cs="Tahoma"/>
          <w:b/>
          <w:bCs/>
          <w:sz w:val="21"/>
          <w:szCs w:val="21"/>
        </w:rPr>
      </w:pPr>
    </w:p>
    <w:p w14:paraId="1CA48C13" w14:textId="77777777" w:rsidR="002039E7" w:rsidRDefault="002039E7" w:rsidP="00A3459E">
      <w:pPr>
        <w:spacing w:after="0"/>
        <w:jc w:val="both"/>
        <w:rPr>
          <w:rFonts w:ascii="Tahoma" w:hAnsi="Tahoma" w:cs="Tahoma"/>
          <w:b/>
          <w:bCs/>
          <w:sz w:val="21"/>
          <w:szCs w:val="21"/>
        </w:rPr>
      </w:pPr>
      <w:r w:rsidRPr="002039E7">
        <w:rPr>
          <w:rFonts w:ascii="Tahoma" w:hAnsi="Tahoma" w:cs="Tahoma"/>
          <w:b/>
          <w:bCs/>
          <w:sz w:val="21"/>
          <w:szCs w:val="21"/>
        </w:rPr>
        <w:t>Co dělat, pokud nejste spokojeni</w:t>
      </w:r>
    </w:p>
    <w:p w14:paraId="493D838D" w14:textId="77777777" w:rsidR="00220B1A" w:rsidRDefault="00220B1A" w:rsidP="00A3459E">
      <w:pPr>
        <w:spacing w:after="0"/>
        <w:jc w:val="both"/>
        <w:rPr>
          <w:rFonts w:ascii="Tahoma" w:hAnsi="Tahoma" w:cs="Tahoma"/>
          <w:b/>
          <w:bCs/>
          <w:sz w:val="21"/>
          <w:szCs w:val="21"/>
        </w:rPr>
      </w:pPr>
    </w:p>
    <w:p w14:paraId="59259615" w14:textId="3F00CC25"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Pokud osoba nesouhlasí s rozhodnutím správního orgánu, může podat odvolání prostřednictvím orgánu, který rozhodnutí vydal.</w:t>
      </w:r>
    </w:p>
    <w:p w14:paraId="11FB90A7" w14:textId="7EFA8EFA" w:rsidR="00A3459E" w:rsidRPr="00A3459E" w:rsidRDefault="00A3459E" w:rsidP="00A3459E">
      <w:pPr>
        <w:spacing w:after="0"/>
        <w:jc w:val="both"/>
        <w:rPr>
          <w:rFonts w:ascii="Tahoma" w:hAnsi="Tahoma" w:cs="Tahoma"/>
          <w:sz w:val="21"/>
          <w:szCs w:val="21"/>
        </w:rPr>
      </w:pPr>
      <w:r w:rsidRPr="00A3459E">
        <w:rPr>
          <w:rFonts w:ascii="Tahoma" w:hAnsi="Tahoma" w:cs="Tahoma"/>
          <w:sz w:val="21"/>
          <w:szCs w:val="21"/>
        </w:rPr>
        <w:t>V případě nespokojenosti s postupem pracovníka úřadu lze podat stížnost</w:t>
      </w:r>
      <w:r w:rsidR="002039E7">
        <w:rPr>
          <w:rFonts w:ascii="Tahoma" w:hAnsi="Tahoma" w:cs="Tahoma"/>
          <w:sz w:val="21"/>
          <w:szCs w:val="21"/>
        </w:rPr>
        <w:t>, a to osobně, písemně, e-mailem, prostřednictvím datové schránky.</w:t>
      </w:r>
    </w:p>
    <w:p w14:paraId="190417DC" w14:textId="77777777" w:rsidR="002039E7" w:rsidRDefault="002039E7" w:rsidP="00A3459E">
      <w:pPr>
        <w:spacing w:after="0"/>
        <w:jc w:val="both"/>
        <w:rPr>
          <w:rFonts w:ascii="Tahoma" w:hAnsi="Tahoma" w:cs="Tahoma"/>
          <w:b/>
          <w:bCs/>
          <w:sz w:val="21"/>
          <w:szCs w:val="21"/>
        </w:rPr>
      </w:pPr>
    </w:p>
    <w:p w14:paraId="18F857C5" w14:textId="77777777" w:rsidR="00022BED" w:rsidRDefault="00022BED" w:rsidP="00022BED">
      <w:pPr>
        <w:spacing w:after="0"/>
        <w:jc w:val="both"/>
        <w:rPr>
          <w:rFonts w:ascii="Tahoma" w:hAnsi="Tahoma" w:cs="Tahoma"/>
          <w:b/>
          <w:bCs/>
          <w:sz w:val="21"/>
          <w:szCs w:val="21"/>
        </w:rPr>
      </w:pPr>
      <w:r w:rsidRPr="00A3459E">
        <w:rPr>
          <w:rFonts w:ascii="Tahoma" w:hAnsi="Tahoma" w:cs="Tahoma"/>
          <w:b/>
          <w:bCs/>
          <w:sz w:val="21"/>
          <w:szCs w:val="21"/>
        </w:rPr>
        <w:t>Kontaktní informace</w:t>
      </w:r>
    </w:p>
    <w:p w14:paraId="0A4BF0F8" w14:textId="77777777" w:rsidR="00022BED" w:rsidRPr="00A3459E" w:rsidRDefault="00022BED" w:rsidP="00022BED">
      <w:pPr>
        <w:spacing w:after="0"/>
        <w:jc w:val="both"/>
        <w:rPr>
          <w:rFonts w:ascii="Tahoma" w:hAnsi="Tahoma" w:cs="Tahoma"/>
          <w:sz w:val="21"/>
          <w:szCs w:val="21"/>
        </w:rPr>
      </w:pPr>
      <w:r w:rsidRPr="00A3459E">
        <w:rPr>
          <w:rFonts w:ascii="Tahoma" w:hAnsi="Tahoma" w:cs="Tahoma"/>
          <w:sz w:val="21"/>
          <w:szCs w:val="21"/>
        </w:rPr>
        <w:t>Příslušným orgánem je Orgán sociálně-právní ochrany dětí při Magistrátu města Frýdku-Místku</w:t>
      </w:r>
      <w:r>
        <w:rPr>
          <w:rFonts w:ascii="Tahoma" w:hAnsi="Tahoma" w:cs="Tahoma"/>
          <w:sz w:val="21"/>
          <w:szCs w:val="21"/>
        </w:rPr>
        <w:t xml:space="preserve">, </w:t>
      </w:r>
      <w:r w:rsidRPr="00A3459E">
        <w:rPr>
          <w:rFonts w:ascii="Tahoma" w:hAnsi="Tahoma" w:cs="Tahoma"/>
          <w:sz w:val="21"/>
          <w:szCs w:val="21"/>
        </w:rPr>
        <w:t>Politických obětí 2478, Frýdek-Místek</w:t>
      </w:r>
      <w:r>
        <w:rPr>
          <w:rFonts w:ascii="Tahoma" w:hAnsi="Tahoma" w:cs="Tahoma"/>
          <w:sz w:val="21"/>
          <w:szCs w:val="21"/>
        </w:rPr>
        <w:t xml:space="preserve">. </w:t>
      </w:r>
    </w:p>
    <w:p w14:paraId="1E6809C0" w14:textId="77777777" w:rsidR="00022BED" w:rsidRPr="00A3459E" w:rsidRDefault="00022BED" w:rsidP="00022BED">
      <w:pPr>
        <w:spacing w:after="0"/>
        <w:jc w:val="both"/>
        <w:rPr>
          <w:rFonts w:ascii="Tahoma" w:hAnsi="Tahoma" w:cs="Tahoma"/>
          <w:sz w:val="21"/>
          <w:szCs w:val="21"/>
        </w:rPr>
      </w:pPr>
      <w:r w:rsidRPr="00A3459E">
        <w:rPr>
          <w:rFonts w:ascii="Tahoma" w:hAnsi="Tahoma" w:cs="Tahoma"/>
          <w:sz w:val="21"/>
          <w:szCs w:val="21"/>
        </w:rPr>
        <w:t>Služba je určena občanům s trvalým pobytem ve Frýdku-Místku a ve správním obvodu obcí:</w:t>
      </w:r>
    </w:p>
    <w:p w14:paraId="184AD24F" w14:textId="77777777" w:rsidR="00022BED" w:rsidRPr="00A3459E" w:rsidRDefault="00022BED" w:rsidP="00022BED">
      <w:pPr>
        <w:spacing w:after="0"/>
        <w:jc w:val="both"/>
        <w:rPr>
          <w:rFonts w:ascii="Tahoma" w:hAnsi="Tahoma" w:cs="Tahoma"/>
          <w:sz w:val="21"/>
          <w:szCs w:val="21"/>
        </w:rPr>
      </w:pPr>
      <w:r w:rsidRPr="00A3459E">
        <w:rPr>
          <w:rFonts w:ascii="Tahoma" w:hAnsi="Tahoma" w:cs="Tahoma"/>
          <w:sz w:val="21"/>
          <w:szCs w:val="21"/>
        </w:rPr>
        <w:t>Baška, Brušperk, Bruzovice, Dobrá, Dobratice, Dolní Domaslavice, Dolní Tošanovice, Fryčovice, Frýdek-Místek,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a Žermanice.</w:t>
      </w:r>
    </w:p>
    <w:p w14:paraId="17F1951D" w14:textId="3043198B" w:rsidR="00022BED" w:rsidRPr="00A3459E" w:rsidRDefault="00022BED" w:rsidP="00022BED">
      <w:pPr>
        <w:spacing w:after="0"/>
        <w:jc w:val="both"/>
        <w:rPr>
          <w:rFonts w:ascii="Tahoma" w:hAnsi="Tahoma" w:cs="Tahoma"/>
          <w:sz w:val="21"/>
          <w:szCs w:val="21"/>
        </w:rPr>
      </w:pPr>
      <w:r w:rsidRPr="00A3459E">
        <w:rPr>
          <w:rFonts w:ascii="Tahoma" w:hAnsi="Tahoma" w:cs="Tahoma"/>
          <w:sz w:val="21"/>
          <w:szCs w:val="21"/>
        </w:rPr>
        <w:lastRenderedPageBreak/>
        <w:t>Kontakty</w:t>
      </w:r>
      <w:r>
        <w:rPr>
          <w:rFonts w:ascii="Tahoma" w:hAnsi="Tahoma" w:cs="Tahoma"/>
          <w:sz w:val="21"/>
          <w:szCs w:val="21"/>
        </w:rPr>
        <w:t xml:space="preserve"> na </w:t>
      </w:r>
      <w:r w:rsidRPr="00A3459E">
        <w:rPr>
          <w:rFonts w:ascii="Tahoma" w:hAnsi="Tahoma" w:cs="Tahoma"/>
          <w:sz w:val="21"/>
          <w:szCs w:val="21"/>
        </w:rPr>
        <w:t>sociální pracovníky jsou dostupné na webových stránkách Magistrátu města Frýdku-Místku</w:t>
      </w:r>
      <w:r w:rsidR="00590E0A">
        <w:rPr>
          <w:rFonts w:ascii="Tahoma" w:hAnsi="Tahoma" w:cs="Tahoma"/>
          <w:sz w:val="21"/>
          <w:szCs w:val="21"/>
        </w:rPr>
        <w:t>:</w:t>
      </w:r>
      <w:r w:rsidR="00FF6391">
        <w:rPr>
          <w:rFonts w:ascii="Tahoma" w:hAnsi="Tahoma" w:cs="Tahoma"/>
          <w:sz w:val="21"/>
          <w:szCs w:val="21"/>
        </w:rPr>
        <w:t xml:space="preserve"> </w:t>
      </w:r>
      <w:hyperlink r:id="rId5" w:anchor="block-block_bec6c766cd6ab594f1073fdc49bd6f3c" w:history="1">
        <w:r w:rsidR="00FF6391" w:rsidRPr="00FF6391">
          <w:rPr>
            <w:rStyle w:val="Hypertextovodkaz"/>
            <w:rFonts w:ascii="Tahoma" w:hAnsi="Tahoma" w:cs="Tahoma"/>
            <w:sz w:val="21"/>
            <w:szCs w:val="21"/>
          </w:rPr>
          <w:t>Kontakty | Frýdek-Místek</w:t>
        </w:r>
      </w:hyperlink>
      <w:r w:rsidR="00590E0A">
        <w:t xml:space="preserve"> ,  </w:t>
      </w:r>
      <w:hyperlink r:id="rId6" w:history="1">
        <w:r w:rsidR="00590E0A" w:rsidRPr="00590E0A">
          <w:rPr>
            <w:rStyle w:val="Hypertextovodkaz"/>
          </w:rPr>
          <w:t>Najít sociálního pracovníka | Frýdek-Místek</w:t>
        </w:r>
      </w:hyperlink>
    </w:p>
    <w:p w14:paraId="29F23913" w14:textId="77777777" w:rsidR="00022BED" w:rsidRPr="00A3459E" w:rsidRDefault="00022BED" w:rsidP="00022BED">
      <w:pPr>
        <w:spacing w:after="0"/>
        <w:jc w:val="both"/>
        <w:rPr>
          <w:rFonts w:ascii="Tahoma" w:hAnsi="Tahoma" w:cs="Tahoma"/>
          <w:b/>
          <w:bCs/>
          <w:sz w:val="21"/>
          <w:szCs w:val="21"/>
        </w:rPr>
      </w:pPr>
      <w:r w:rsidRPr="00A3459E">
        <w:rPr>
          <w:rFonts w:ascii="Tahoma" w:hAnsi="Tahoma" w:cs="Tahoma"/>
          <w:b/>
          <w:bCs/>
          <w:sz w:val="21"/>
          <w:szCs w:val="21"/>
        </w:rPr>
        <w:t>Úřední hodiny</w:t>
      </w:r>
    </w:p>
    <w:p w14:paraId="4C8468F1" w14:textId="77777777" w:rsidR="00022BED" w:rsidRPr="00A3459E" w:rsidRDefault="00022BED" w:rsidP="00022BED">
      <w:pPr>
        <w:numPr>
          <w:ilvl w:val="0"/>
          <w:numId w:val="7"/>
        </w:numPr>
        <w:spacing w:after="0"/>
        <w:jc w:val="both"/>
        <w:rPr>
          <w:rFonts w:ascii="Tahoma" w:hAnsi="Tahoma" w:cs="Tahoma"/>
          <w:sz w:val="21"/>
          <w:szCs w:val="21"/>
        </w:rPr>
      </w:pPr>
      <w:r w:rsidRPr="00A3459E">
        <w:rPr>
          <w:rFonts w:ascii="Tahoma" w:hAnsi="Tahoma" w:cs="Tahoma"/>
          <w:sz w:val="21"/>
          <w:szCs w:val="21"/>
        </w:rPr>
        <w:t xml:space="preserve">Pondělí: 8.00–17.00 </w:t>
      </w:r>
    </w:p>
    <w:p w14:paraId="0EBAB3A1" w14:textId="77777777" w:rsidR="00022BED" w:rsidRPr="00A3459E" w:rsidRDefault="00022BED" w:rsidP="00022BED">
      <w:pPr>
        <w:numPr>
          <w:ilvl w:val="0"/>
          <w:numId w:val="7"/>
        </w:numPr>
        <w:spacing w:after="0"/>
        <w:jc w:val="both"/>
        <w:rPr>
          <w:rFonts w:ascii="Tahoma" w:hAnsi="Tahoma" w:cs="Tahoma"/>
          <w:sz w:val="21"/>
          <w:szCs w:val="21"/>
        </w:rPr>
      </w:pPr>
      <w:r w:rsidRPr="00A3459E">
        <w:rPr>
          <w:rFonts w:ascii="Tahoma" w:hAnsi="Tahoma" w:cs="Tahoma"/>
          <w:sz w:val="21"/>
          <w:szCs w:val="21"/>
        </w:rPr>
        <w:t xml:space="preserve">Středa: 8.00–17.00 </w:t>
      </w:r>
    </w:p>
    <w:p w14:paraId="2B89E54E" w14:textId="77777777" w:rsidR="00022BED" w:rsidRPr="00A3459E" w:rsidRDefault="00022BED" w:rsidP="00022BED">
      <w:pPr>
        <w:numPr>
          <w:ilvl w:val="0"/>
          <w:numId w:val="7"/>
        </w:numPr>
        <w:spacing w:after="0"/>
        <w:jc w:val="both"/>
        <w:rPr>
          <w:rFonts w:ascii="Tahoma" w:hAnsi="Tahoma" w:cs="Tahoma"/>
          <w:sz w:val="21"/>
          <w:szCs w:val="21"/>
        </w:rPr>
      </w:pPr>
      <w:r w:rsidRPr="00A3459E">
        <w:rPr>
          <w:rFonts w:ascii="Tahoma" w:hAnsi="Tahoma" w:cs="Tahoma"/>
          <w:sz w:val="21"/>
          <w:szCs w:val="21"/>
        </w:rPr>
        <w:t xml:space="preserve">Čtvrtek: 13.00–15.00 </w:t>
      </w:r>
    </w:p>
    <w:p w14:paraId="642EB58E" w14:textId="77777777" w:rsidR="00022BED" w:rsidRDefault="00022BED" w:rsidP="00022BED">
      <w:pPr>
        <w:spacing w:after="0"/>
        <w:jc w:val="both"/>
        <w:rPr>
          <w:rFonts w:ascii="Tahoma" w:hAnsi="Tahoma" w:cs="Tahoma"/>
          <w:sz w:val="21"/>
          <w:szCs w:val="21"/>
        </w:rPr>
      </w:pPr>
      <w:r w:rsidRPr="00A3459E">
        <w:rPr>
          <w:rFonts w:ascii="Tahoma" w:hAnsi="Tahoma" w:cs="Tahoma"/>
          <w:sz w:val="21"/>
          <w:szCs w:val="21"/>
        </w:rPr>
        <w:t>Výkon sociálně-právní ochrany dětí je v mimopracovní době zajištěn prostřednictvím pracovní pohotovosti.</w:t>
      </w:r>
    </w:p>
    <w:p w14:paraId="5CC555B6" w14:textId="77777777" w:rsidR="00022BED" w:rsidRDefault="00022BED" w:rsidP="00022BED">
      <w:pPr>
        <w:spacing w:after="0"/>
        <w:jc w:val="both"/>
        <w:rPr>
          <w:rFonts w:ascii="Tahoma" w:hAnsi="Tahoma" w:cs="Tahoma"/>
          <w:sz w:val="21"/>
          <w:szCs w:val="21"/>
        </w:rPr>
      </w:pPr>
    </w:p>
    <w:p w14:paraId="5FCD4023" w14:textId="7E12352A" w:rsidR="00022BED" w:rsidRDefault="00022BED" w:rsidP="00022BED">
      <w:pPr>
        <w:spacing w:after="0"/>
        <w:jc w:val="both"/>
        <w:rPr>
          <w:rFonts w:ascii="Tahoma" w:hAnsi="Tahoma" w:cs="Tahoma"/>
          <w:sz w:val="21"/>
          <w:szCs w:val="21"/>
        </w:rPr>
      </w:pPr>
      <w:r>
        <w:rPr>
          <w:rFonts w:ascii="Tahoma" w:hAnsi="Tahoma" w:cs="Tahoma"/>
          <w:sz w:val="21"/>
          <w:szCs w:val="21"/>
        </w:rPr>
        <w:t>Aktualizace ke dni 20. 5. 2026</w:t>
      </w:r>
    </w:p>
    <w:p w14:paraId="6EF7E8B7" w14:textId="77777777" w:rsidR="00022BED" w:rsidRPr="00A3459E" w:rsidRDefault="00022BED" w:rsidP="00022BED">
      <w:pPr>
        <w:spacing w:after="0"/>
        <w:jc w:val="both"/>
        <w:rPr>
          <w:rFonts w:ascii="Tahoma" w:hAnsi="Tahoma" w:cs="Tahoma"/>
          <w:sz w:val="21"/>
          <w:szCs w:val="21"/>
        </w:rPr>
      </w:pPr>
    </w:p>
    <w:p w14:paraId="507AFAE7" w14:textId="77777777" w:rsidR="00022BED" w:rsidRDefault="00022BED" w:rsidP="00A3459E">
      <w:pPr>
        <w:spacing w:after="0"/>
        <w:jc w:val="both"/>
        <w:rPr>
          <w:rFonts w:ascii="Tahoma" w:hAnsi="Tahoma" w:cs="Tahoma"/>
          <w:b/>
          <w:bCs/>
          <w:sz w:val="21"/>
          <w:szCs w:val="21"/>
        </w:rPr>
      </w:pPr>
    </w:p>
    <w:sectPr w:rsidR="00022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1DE"/>
    <w:multiLevelType w:val="multilevel"/>
    <w:tmpl w:val="972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46DF"/>
    <w:multiLevelType w:val="multilevel"/>
    <w:tmpl w:val="335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5D"/>
    <w:multiLevelType w:val="multilevel"/>
    <w:tmpl w:val="691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30D42"/>
    <w:multiLevelType w:val="multilevel"/>
    <w:tmpl w:val="C3A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D53D4"/>
    <w:multiLevelType w:val="multilevel"/>
    <w:tmpl w:val="740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5067D"/>
    <w:multiLevelType w:val="multilevel"/>
    <w:tmpl w:val="230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E7FB4"/>
    <w:multiLevelType w:val="multilevel"/>
    <w:tmpl w:val="FA48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01927"/>
    <w:multiLevelType w:val="multilevel"/>
    <w:tmpl w:val="4610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426AC"/>
    <w:multiLevelType w:val="multilevel"/>
    <w:tmpl w:val="8870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F3FE6"/>
    <w:multiLevelType w:val="multilevel"/>
    <w:tmpl w:val="35EE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124D8"/>
    <w:multiLevelType w:val="multilevel"/>
    <w:tmpl w:val="5050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41857"/>
    <w:multiLevelType w:val="multilevel"/>
    <w:tmpl w:val="DC0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A737F"/>
    <w:multiLevelType w:val="multilevel"/>
    <w:tmpl w:val="435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E5A7E"/>
    <w:multiLevelType w:val="multilevel"/>
    <w:tmpl w:val="C7D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A5357"/>
    <w:multiLevelType w:val="multilevel"/>
    <w:tmpl w:val="F86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F3653"/>
    <w:multiLevelType w:val="multilevel"/>
    <w:tmpl w:val="7B2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A6872"/>
    <w:multiLevelType w:val="multilevel"/>
    <w:tmpl w:val="41A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D5C16"/>
    <w:multiLevelType w:val="multilevel"/>
    <w:tmpl w:val="0C78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540538">
    <w:abstractNumId w:val="16"/>
  </w:num>
  <w:num w:numId="2" w16cid:durableId="1618412818">
    <w:abstractNumId w:val="1"/>
  </w:num>
  <w:num w:numId="3" w16cid:durableId="412777812">
    <w:abstractNumId w:val="4"/>
  </w:num>
  <w:num w:numId="4" w16cid:durableId="525141031">
    <w:abstractNumId w:val="11"/>
  </w:num>
  <w:num w:numId="5" w16cid:durableId="1409032949">
    <w:abstractNumId w:val="15"/>
  </w:num>
  <w:num w:numId="6" w16cid:durableId="1567564699">
    <w:abstractNumId w:val="10"/>
  </w:num>
  <w:num w:numId="7" w16cid:durableId="376012173">
    <w:abstractNumId w:val="5"/>
  </w:num>
  <w:num w:numId="8" w16cid:durableId="1910114044">
    <w:abstractNumId w:val="14"/>
  </w:num>
  <w:num w:numId="9" w16cid:durableId="1410733087">
    <w:abstractNumId w:val="8"/>
  </w:num>
  <w:num w:numId="10" w16cid:durableId="1720399467">
    <w:abstractNumId w:val="0"/>
  </w:num>
  <w:num w:numId="11" w16cid:durableId="510998705">
    <w:abstractNumId w:val="12"/>
  </w:num>
  <w:num w:numId="12" w16cid:durableId="2065056159">
    <w:abstractNumId w:val="2"/>
  </w:num>
  <w:num w:numId="13" w16cid:durableId="425854605">
    <w:abstractNumId w:val="7"/>
  </w:num>
  <w:num w:numId="14" w16cid:durableId="2026977510">
    <w:abstractNumId w:val="6"/>
  </w:num>
  <w:num w:numId="15" w16cid:durableId="844368407">
    <w:abstractNumId w:val="3"/>
  </w:num>
  <w:num w:numId="16" w16cid:durableId="139805870">
    <w:abstractNumId w:val="9"/>
  </w:num>
  <w:num w:numId="17" w16cid:durableId="1097485161">
    <w:abstractNumId w:val="17"/>
  </w:num>
  <w:num w:numId="18" w16cid:durableId="64185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97"/>
    <w:rsid w:val="00022BED"/>
    <w:rsid w:val="00036142"/>
    <w:rsid w:val="001D535B"/>
    <w:rsid w:val="002039E7"/>
    <w:rsid w:val="00220B1A"/>
    <w:rsid w:val="002719BB"/>
    <w:rsid w:val="003B4C30"/>
    <w:rsid w:val="0042362D"/>
    <w:rsid w:val="00590E0A"/>
    <w:rsid w:val="005F67E9"/>
    <w:rsid w:val="0070670A"/>
    <w:rsid w:val="00753DAD"/>
    <w:rsid w:val="00780778"/>
    <w:rsid w:val="007B62C1"/>
    <w:rsid w:val="00843D58"/>
    <w:rsid w:val="00865897"/>
    <w:rsid w:val="00962321"/>
    <w:rsid w:val="009A7144"/>
    <w:rsid w:val="00A3459E"/>
    <w:rsid w:val="00A85D93"/>
    <w:rsid w:val="00DB1E83"/>
    <w:rsid w:val="00E567EE"/>
    <w:rsid w:val="00FC115D"/>
    <w:rsid w:val="00FF6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03A1"/>
  <w15:chartTrackingRefBased/>
  <w15:docId w15:val="{E1C835BF-27D6-4BDD-B4D6-BE0A75A6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65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65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658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658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658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658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58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58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58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58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58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658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58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58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58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58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58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5897"/>
    <w:rPr>
      <w:rFonts w:eastAsiaTheme="majorEastAsia" w:cstheme="majorBidi"/>
      <w:color w:val="272727" w:themeColor="text1" w:themeTint="D8"/>
    </w:rPr>
  </w:style>
  <w:style w:type="paragraph" w:styleId="Nzev">
    <w:name w:val="Title"/>
    <w:basedOn w:val="Normln"/>
    <w:next w:val="Normln"/>
    <w:link w:val="NzevChar"/>
    <w:uiPriority w:val="10"/>
    <w:qFormat/>
    <w:rsid w:val="00865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58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58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58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5897"/>
    <w:pPr>
      <w:spacing w:before="160"/>
      <w:jc w:val="center"/>
    </w:pPr>
    <w:rPr>
      <w:i/>
      <w:iCs/>
      <w:color w:val="404040" w:themeColor="text1" w:themeTint="BF"/>
    </w:rPr>
  </w:style>
  <w:style w:type="character" w:customStyle="1" w:styleId="CittChar">
    <w:name w:val="Citát Char"/>
    <w:basedOn w:val="Standardnpsmoodstavce"/>
    <w:link w:val="Citt"/>
    <w:uiPriority w:val="29"/>
    <w:rsid w:val="00865897"/>
    <w:rPr>
      <w:i/>
      <w:iCs/>
      <w:color w:val="404040" w:themeColor="text1" w:themeTint="BF"/>
    </w:rPr>
  </w:style>
  <w:style w:type="paragraph" w:styleId="Odstavecseseznamem">
    <w:name w:val="List Paragraph"/>
    <w:basedOn w:val="Normln"/>
    <w:uiPriority w:val="34"/>
    <w:qFormat/>
    <w:rsid w:val="00865897"/>
    <w:pPr>
      <w:ind w:left="720"/>
      <w:contextualSpacing/>
    </w:pPr>
  </w:style>
  <w:style w:type="character" w:styleId="Zdraznnintenzivn">
    <w:name w:val="Intense Emphasis"/>
    <w:basedOn w:val="Standardnpsmoodstavce"/>
    <w:uiPriority w:val="21"/>
    <w:qFormat/>
    <w:rsid w:val="00865897"/>
    <w:rPr>
      <w:i/>
      <w:iCs/>
      <w:color w:val="0F4761" w:themeColor="accent1" w:themeShade="BF"/>
    </w:rPr>
  </w:style>
  <w:style w:type="paragraph" w:styleId="Vrazncitt">
    <w:name w:val="Intense Quote"/>
    <w:basedOn w:val="Normln"/>
    <w:next w:val="Normln"/>
    <w:link w:val="VrazncittChar"/>
    <w:uiPriority w:val="30"/>
    <w:qFormat/>
    <w:rsid w:val="00865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5897"/>
    <w:rPr>
      <w:i/>
      <w:iCs/>
      <w:color w:val="0F4761" w:themeColor="accent1" w:themeShade="BF"/>
    </w:rPr>
  </w:style>
  <w:style w:type="character" w:styleId="Odkazintenzivn">
    <w:name w:val="Intense Reference"/>
    <w:basedOn w:val="Standardnpsmoodstavce"/>
    <w:uiPriority w:val="32"/>
    <w:qFormat/>
    <w:rsid w:val="00865897"/>
    <w:rPr>
      <w:b/>
      <w:bCs/>
      <w:smallCaps/>
      <w:color w:val="0F4761" w:themeColor="accent1" w:themeShade="BF"/>
      <w:spacing w:val="5"/>
    </w:rPr>
  </w:style>
  <w:style w:type="character" w:styleId="Hypertextovodkaz">
    <w:name w:val="Hyperlink"/>
    <w:basedOn w:val="Standardnpsmoodstavce"/>
    <w:uiPriority w:val="99"/>
    <w:unhideWhenUsed/>
    <w:rsid w:val="00FF6391"/>
    <w:rPr>
      <w:color w:val="467886" w:themeColor="hyperlink"/>
      <w:u w:val="single"/>
    </w:rPr>
  </w:style>
  <w:style w:type="character" w:styleId="Nevyeenzmnka">
    <w:name w:val="Unresolved Mention"/>
    <w:basedOn w:val="Standardnpsmoodstavce"/>
    <w:uiPriority w:val="99"/>
    <w:semiHidden/>
    <w:unhideWhenUsed/>
    <w:rsid w:val="00FF6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ydekmistek.cz/magistrat/odbory-magistratu/odbor-socialnich-sluzeb/socialne-pravni-ochrana-deti/najit-socialniho-pracovnika/" TargetMode="External"/><Relationship Id="rId5" Type="http://schemas.openxmlformats.org/officeDocument/2006/relationships/hyperlink" Target="https://www.frydekmistek.cz/magistrat/kontakty/?council_search=&amp;council_department_id=32&amp;council_sort=departments"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Dagmar Vepřeková</dc:creator>
  <cp:keywords/>
  <dc:description/>
  <cp:lastModifiedBy>Bc. Dagmar Vepřeková</cp:lastModifiedBy>
  <cp:revision>10</cp:revision>
  <cp:lastPrinted>2026-05-12T05:05:00Z</cp:lastPrinted>
  <dcterms:created xsi:type="dcterms:W3CDTF">2026-05-11T12:28:00Z</dcterms:created>
  <dcterms:modified xsi:type="dcterms:W3CDTF">2026-05-20T07:15:00Z</dcterms:modified>
</cp:coreProperties>
</file>